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4E66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大标宋简体" w:hAnsi="方正大标宋简体" w:eastAsia="方正大标宋简体" w:cs="方正大标宋简体"/>
          <w:sz w:val="44"/>
          <w:szCs w:val="44"/>
          <w:highlight w:val="none"/>
        </w:rPr>
      </w:pPr>
    </w:p>
    <w:p w14:paraId="48D6DC95">
      <w:pPr>
        <w:pStyle w:val="3"/>
        <w:keepNext w:val="0"/>
        <w:keepLines w:val="0"/>
        <w:widowControl/>
        <w:suppressLineNumbers w:val="0"/>
      </w:pPr>
      <w:r>
        <w:t>营口市医师过度医疗和医疗欺诈</w:t>
      </w:r>
    </w:p>
    <w:p w14:paraId="2014A480">
      <w:pPr>
        <w:pStyle w:val="3"/>
        <w:keepNext w:val="0"/>
        <w:keepLines w:val="0"/>
        <w:widowControl/>
        <w:suppressLineNumbers w:val="0"/>
        <w:jc w:val="center"/>
      </w:pPr>
      <w:r>
        <w:t>认定管理办法（试行）</w:t>
      </w:r>
    </w:p>
    <w:p w14:paraId="51DB1053">
      <w:pPr>
        <w:pStyle w:val="3"/>
        <w:keepNext w:val="0"/>
        <w:keepLines w:val="0"/>
        <w:widowControl/>
        <w:suppressLineNumbers w:val="0"/>
        <w:jc w:val="center"/>
      </w:pPr>
      <w:r>
        <w:t>（征求意见稿）</w:t>
      </w:r>
    </w:p>
    <w:p w14:paraId="13925C79">
      <w:pPr>
        <w:pStyle w:val="3"/>
        <w:keepNext w:val="0"/>
        <w:keepLines w:val="0"/>
        <w:widowControl/>
        <w:suppressLineNumbers w:val="0"/>
        <w:jc w:val="center"/>
      </w:pPr>
      <w:r>
        <w:t> </w:t>
      </w:r>
    </w:p>
    <w:p w14:paraId="28A71BBE">
      <w:pPr>
        <w:pStyle w:val="3"/>
        <w:keepNext w:val="0"/>
        <w:keepLines w:val="0"/>
        <w:widowControl/>
        <w:suppressLineNumbers w:val="0"/>
        <w:jc w:val="center"/>
      </w:pPr>
      <w:r>
        <w:t>第一章  总则</w:t>
      </w:r>
    </w:p>
    <w:p w14:paraId="0954D02A">
      <w:pPr>
        <w:pStyle w:val="3"/>
        <w:keepNext w:val="0"/>
        <w:keepLines w:val="0"/>
        <w:widowControl/>
        <w:suppressLineNumbers w:val="0"/>
        <w:jc w:val="both"/>
      </w:pPr>
      <w:r>
        <w:t>第一条 为进一步规范医疗服务行为，防范和查处医师过度医疗及医疗欺诈，维护患者合法权益，促进医疗卫生行业行风建设，依据《中华人民共和国行政处罚法》《中华人民共和国基本医疗卫生与健康促进法》《中华人民共和国医师法》《医疗机构管理条例》等法律法规，结合本市实际，制定本办法。</w:t>
      </w:r>
    </w:p>
    <w:p w14:paraId="7DF292C6">
      <w:pPr>
        <w:pStyle w:val="3"/>
        <w:keepNext w:val="0"/>
        <w:keepLines w:val="0"/>
        <w:widowControl/>
        <w:suppressLineNumbers w:val="0"/>
        <w:jc w:val="both"/>
      </w:pPr>
      <w:r>
        <w:t>第二条 本办法不创设行政处罚种类，“过度医疗”“医疗欺诈”系对《中华人民共和国医师法》《医疗保障基金使用监督管理条例》等法律法规中相关禁止性规定的事实归纳性综合表述，仅用于行政调查阶段对相关违法事实的定性参考，不作为独立的法律责任种类，亦不影响司法机关依照民事、刑事法律对欺诈、诈骗等行为的独立评价。</w:t>
      </w:r>
    </w:p>
    <w:p w14:paraId="3BDDFF7C">
      <w:pPr>
        <w:pStyle w:val="3"/>
        <w:keepNext w:val="0"/>
        <w:keepLines w:val="0"/>
        <w:widowControl/>
        <w:suppressLineNumbers w:val="0"/>
        <w:jc w:val="both"/>
      </w:pPr>
      <w:r>
        <w:t>第三条 本市行政区域内卫生健康行政部门及其所属的卫生健康监督机构，对医师在执业活动中涉嫌过度医疗、医疗欺诈行为的预防、调查、认定、处理及相关监督管理活动，适用本办法。</w:t>
      </w:r>
    </w:p>
    <w:p w14:paraId="1D1FB8A3">
      <w:pPr>
        <w:pStyle w:val="3"/>
        <w:keepNext w:val="0"/>
        <w:keepLines w:val="0"/>
        <w:widowControl/>
        <w:suppressLineNumbers w:val="0"/>
        <w:jc w:val="both"/>
      </w:pPr>
      <w:r>
        <w:t>第四条 过度医疗和医疗欺诈行为的调查、认定与处理工作，应当遵循合法合规、程序正当、证据确凿、客观公正、科学高效的原则，并以医师执业行为发生时的有效临床诊疗指南、技术操作规范、医保政策及相关法律法规作为基本判断依据。</w:t>
      </w:r>
    </w:p>
    <w:p w14:paraId="46405582">
      <w:pPr>
        <w:pStyle w:val="3"/>
        <w:keepNext w:val="0"/>
        <w:keepLines w:val="0"/>
        <w:widowControl/>
        <w:suppressLineNumbers w:val="0"/>
        <w:jc w:val="both"/>
      </w:pPr>
      <w:r>
        <w:t>过度医疗和医疗欺诈行为认定是行政执法调查的关键环节和重要事实依据，其认定程序仅用于查明违法事实，不得替代行政处罚的法定程序。</w:t>
      </w:r>
    </w:p>
    <w:p w14:paraId="502A7135">
      <w:pPr>
        <w:pStyle w:val="3"/>
        <w:keepNext w:val="0"/>
        <w:keepLines w:val="0"/>
        <w:widowControl/>
        <w:suppressLineNumbers w:val="0"/>
        <w:jc w:val="both"/>
      </w:pPr>
      <w:r>
        <w:t>本办法所称认定意见属于行政执法调查过程中的证据材料，作为行政执法调查取证、行政处罚的重要依据，不单独对外产生法律效力，不作为患者民事诉讼中划分民事责任的唯一或直接依据。</w:t>
      </w:r>
    </w:p>
    <w:p w14:paraId="6B3882CA">
      <w:pPr>
        <w:pStyle w:val="3"/>
        <w:keepNext w:val="0"/>
        <w:keepLines w:val="0"/>
        <w:widowControl/>
        <w:suppressLineNumbers w:val="0"/>
        <w:jc w:val="center"/>
      </w:pPr>
      <w:r>
        <w:t> </w:t>
      </w:r>
    </w:p>
    <w:p w14:paraId="6F749C1D">
      <w:pPr>
        <w:pStyle w:val="3"/>
        <w:keepNext w:val="0"/>
        <w:keepLines w:val="0"/>
        <w:widowControl/>
        <w:suppressLineNumbers w:val="0"/>
        <w:jc w:val="center"/>
      </w:pPr>
      <w:r>
        <w:t>第二章  认定标准</w:t>
      </w:r>
    </w:p>
    <w:p w14:paraId="2988CC10">
      <w:pPr>
        <w:pStyle w:val="3"/>
        <w:keepNext w:val="0"/>
        <w:keepLines w:val="0"/>
        <w:widowControl/>
        <w:suppressLineNumbers w:val="0"/>
        <w:jc w:val="both"/>
      </w:pPr>
      <w:r>
        <w:t>第五条 本办法所称过度医疗，是指医师在执业活动中，违反医学伦理、临床诊疗指南、技术操作规范，提供与患者具体病情需要明显不相符、非必要或不合理的诊疗、检查、用药、医用耗材使用或住院、手术等医疗服务的行为。</w:t>
      </w:r>
    </w:p>
    <w:p w14:paraId="4615B5BB">
      <w:pPr>
        <w:pStyle w:val="3"/>
        <w:keepNext w:val="0"/>
        <w:keepLines w:val="0"/>
        <w:widowControl/>
        <w:suppressLineNumbers w:val="0"/>
        <w:jc w:val="both"/>
      </w:pPr>
      <w:r>
        <w:t>具有下列情形之一的，在行政执法调查中，作为认定涉嫌过度医疗的事实参考情形：</w:t>
      </w:r>
    </w:p>
    <w:p w14:paraId="0AB68DBB">
      <w:pPr>
        <w:pStyle w:val="3"/>
        <w:keepNext w:val="0"/>
        <w:keepLines w:val="0"/>
        <w:widowControl/>
        <w:suppressLineNumbers w:val="0"/>
        <w:jc w:val="both"/>
      </w:pPr>
      <w:r>
        <w:t>（一）无明确临床指征或违反检查检验结果互认规定，实施重复性、套餐式、升级性等非必要检查检验，或在同一病程短期内无正当理由重复进行相同、相似检查检验的；</w:t>
      </w:r>
    </w:p>
    <w:p w14:paraId="616F84C0">
      <w:pPr>
        <w:pStyle w:val="3"/>
        <w:keepNext w:val="0"/>
        <w:keepLines w:val="0"/>
        <w:widowControl/>
        <w:suppressLineNumbers w:val="0"/>
        <w:jc w:val="both"/>
      </w:pPr>
      <w:r>
        <w:t>（二）违反合理用药原则，超适应症、超剂量、超疗程开具药品，或无正当理由优先使用高价药品的；</w:t>
      </w:r>
    </w:p>
    <w:p w14:paraId="1EE847BA">
      <w:pPr>
        <w:pStyle w:val="3"/>
        <w:keepNext w:val="0"/>
        <w:keepLines w:val="0"/>
        <w:widowControl/>
        <w:suppressLineNumbers w:val="0"/>
        <w:jc w:val="both"/>
      </w:pPr>
      <w:r>
        <w:t>（三）违反医用耗材使用规范，不合理使用耗材；</w:t>
      </w:r>
    </w:p>
    <w:p w14:paraId="3247E95C">
      <w:pPr>
        <w:pStyle w:val="3"/>
        <w:keepNext w:val="0"/>
        <w:keepLines w:val="0"/>
        <w:widowControl/>
        <w:suppressLineNumbers w:val="0"/>
        <w:jc w:val="both"/>
      </w:pPr>
      <w:r>
        <w:t>（四）违反临床路径管理或出院标准，无正当理由延长住院时间、分解住院或挂床住院的；</w:t>
      </w:r>
    </w:p>
    <w:p w14:paraId="2C277A41">
      <w:pPr>
        <w:pStyle w:val="3"/>
        <w:keepNext w:val="0"/>
        <w:keepLines w:val="0"/>
        <w:widowControl/>
        <w:suppressLineNumbers w:val="0"/>
        <w:jc w:val="both"/>
      </w:pPr>
      <w:r>
        <w:t>（五）违反手术分级管理制度、临床诊疗指南或技术操作规范，在不具备明确手术（操作）指征的情况下，实施非必要的手术、有创操作、理疗或康复等项目的；</w:t>
      </w:r>
    </w:p>
    <w:p w14:paraId="6A5FACF2">
      <w:pPr>
        <w:pStyle w:val="3"/>
        <w:keepNext w:val="0"/>
        <w:keepLines w:val="0"/>
        <w:widowControl/>
        <w:suppressLineNumbers w:val="0"/>
        <w:jc w:val="both"/>
      </w:pPr>
      <w:r>
        <w:t>（六）其他明显违反诊疗规范，与患者具体病情需要显著不符的诊疗行为。</w:t>
      </w:r>
    </w:p>
    <w:p w14:paraId="771A5198">
      <w:pPr>
        <w:pStyle w:val="3"/>
        <w:keepNext w:val="0"/>
        <w:keepLines w:val="0"/>
        <w:widowControl/>
        <w:suppressLineNumbers w:val="0"/>
        <w:jc w:val="both"/>
      </w:pPr>
      <w:r>
        <w:t>第六条 本办法所称医疗欺诈，是指医师为谋取不正当利益，在执业活动中，明知且故意采取虚构事实、隐瞒真相等欺骗、诱导手段，使患者陷入错误认识而接受不必要的诊疗，或骗取患者财物的行为。</w:t>
      </w:r>
    </w:p>
    <w:p w14:paraId="08F3D6FB">
      <w:pPr>
        <w:pStyle w:val="3"/>
        <w:keepNext w:val="0"/>
        <w:keepLines w:val="0"/>
        <w:widowControl/>
        <w:suppressLineNumbers w:val="0"/>
        <w:jc w:val="both"/>
      </w:pPr>
      <w:r>
        <w:t>具有下列情形之一的，在行政执法调查中，作为认定涉嫌医疗欺诈的事实参考情形：</w:t>
      </w:r>
    </w:p>
    <w:p w14:paraId="1D3A61CF">
      <w:pPr>
        <w:pStyle w:val="3"/>
        <w:keepNext w:val="0"/>
        <w:keepLines w:val="0"/>
        <w:widowControl/>
        <w:suppressLineNumbers w:val="0"/>
        <w:jc w:val="both"/>
      </w:pPr>
      <w:r>
        <w:t>（一）虚构病情、伪造或篡改医疗文书、医学证明、费用清单等医疗文件的；</w:t>
      </w:r>
    </w:p>
    <w:p w14:paraId="1601F089">
      <w:pPr>
        <w:pStyle w:val="3"/>
        <w:keepNext w:val="0"/>
        <w:keepLines w:val="0"/>
        <w:widowControl/>
        <w:suppressLineNumbers w:val="0"/>
        <w:jc w:val="both"/>
      </w:pPr>
      <w:r>
        <w:t>（二）诱导、协助他人伪造或篡改医疗文书、医学证明、费用清单等医疗文件的；</w:t>
      </w:r>
    </w:p>
    <w:p w14:paraId="222C3928">
      <w:pPr>
        <w:pStyle w:val="3"/>
        <w:keepNext w:val="0"/>
        <w:keepLines w:val="0"/>
        <w:widowControl/>
        <w:suppressLineNumbers w:val="0"/>
        <w:jc w:val="both"/>
      </w:pPr>
      <w:r>
        <w:t>（三）与患者或他人串通，进行虚假住院、挂床住院、分解住院、冒名就医等虚假就医行为的；</w:t>
      </w:r>
    </w:p>
    <w:p w14:paraId="6FCC9771">
      <w:pPr>
        <w:pStyle w:val="3"/>
        <w:keepNext w:val="0"/>
        <w:keepLines w:val="0"/>
        <w:widowControl/>
        <w:suppressLineNumbers w:val="0"/>
        <w:jc w:val="both"/>
      </w:pPr>
      <w:r>
        <w:t>（四）编造、夸大病情、诊断结论或诊疗必要性，诱导患者接受与其实质病情不符的药品、医疗器械、诊疗服务的；</w:t>
      </w:r>
    </w:p>
    <w:p w14:paraId="0B6EAA25">
      <w:pPr>
        <w:pStyle w:val="3"/>
        <w:keepNext w:val="0"/>
        <w:keepLines w:val="0"/>
        <w:widowControl/>
        <w:suppressLineNumbers w:val="0"/>
        <w:jc w:val="both"/>
      </w:pPr>
      <w:r>
        <w:t>（五）对治疗效果、成功率作虚假或引人误解的承诺或宣传，或隐瞒重要医疗风险、替代方案，影响患者知情同意及自主做出治疗决定的；</w:t>
      </w:r>
    </w:p>
    <w:p w14:paraId="3AC0D6F0">
      <w:pPr>
        <w:pStyle w:val="3"/>
        <w:keepNext w:val="0"/>
        <w:keepLines w:val="0"/>
        <w:widowControl/>
        <w:suppressLineNumbers w:val="0"/>
        <w:jc w:val="both"/>
      </w:pPr>
      <w:r>
        <w:t>（六）采取其他虚构事实、隐瞒真相的手段，骗取患者财物的。</w:t>
      </w:r>
    </w:p>
    <w:p w14:paraId="108D8F76">
      <w:pPr>
        <w:pStyle w:val="3"/>
        <w:keepNext w:val="0"/>
        <w:keepLines w:val="0"/>
        <w:widowControl/>
        <w:suppressLineNumbers w:val="0"/>
        <w:jc w:val="both"/>
      </w:pPr>
      <w:r>
        <w:t>第七条 认定是否构成过度医疗或医疗欺诈，应当综合分析以下因素，并以查证属实的客观证据为基础：</w:t>
      </w:r>
    </w:p>
    <w:p w14:paraId="050E62CB">
      <w:pPr>
        <w:pStyle w:val="3"/>
        <w:keepNext w:val="0"/>
        <w:keepLines w:val="0"/>
        <w:widowControl/>
        <w:suppressLineNumbers w:val="0"/>
        <w:jc w:val="both"/>
      </w:pPr>
      <w:r>
        <w:t>（一）行为是否违法行为发生时有效的临床诊疗指南、技术操作规范；</w:t>
      </w:r>
    </w:p>
    <w:p w14:paraId="5F7385F4">
      <w:pPr>
        <w:pStyle w:val="3"/>
        <w:keepNext w:val="0"/>
        <w:keepLines w:val="0"/>
        <w:widowControl/>
        <w:suppressLineNumbers w:val="0"/>
        <w:jc w:val="both"/>
      </w:pPr>
      <w:r>
        <w:t>（二）患者个体的具体病情、病史、体征及辅助检查结果；</w:t>
      </w:r>
    </w:p>
    <w:p w14:paraId="77550654">
      <w:pPr>
        <w:pStyle w:val="3"/>
        <w:keepNext w:val="0"/>
        <w:keepLines w:val="0"/>
        <w:widowControl/>
        <w:suppressLineNumbers w:val="0"/>
        <w:jc w:val="both"/>
      </w:pPr>
      <w:r>
        <w:t>（三）所采用医疗方案的必要性、合理性、损害最小化原则及替代方案的可及性；</w:t>
      </w:r>
    </w:p>
    <w:p w14:paraId="33F979F1">
      <w:pPr>
        <w:pStyle w:val="3"/>
        <w:keepNext w:val="0"/>
        <w:keepLines w:val="0"/>
        <w:widowControl/>
        <w:suppressLineNumbers w:val="0"/>
        <w:jc w:val="both"/>
      </w:pPr>
      <w:r>
        <w:t>（四）医疗费用构成的合理性及其与核心诊疗项目的相关性；</w:t>
      </w:r>
    </w:p>
    <w:p w14:paraId="3FDBF374">
      <w:pPr>
        <w:pStyle w:val="3"/>
        <w:keepNext w:val="0"/>
        <w:keepLines w:val="0"/>
        <w:widowControl/>
        <w:suppressLineNumbers w:val="0"/>
        <w:jc w:val="both"/>
      </w:pPr>
      <w:r>
        <w:t>（五）医师的主观过错状态（故意或重大过失）、专业技术职务及当时可及的医疗资源条件。</w:t>
      </w:r>
    </w:p>
    <w:p w14:paraId="0EDD1BBE">
      <w:pPr>
        <w:pStyle w:val="3"/>
        <w:keepNext w:val="0"/>
        <w:keepLines w:val="0"/>
        <w:widowControl/>
        <w:suppressLineNumbers w:val="0"/>
        <w:jc w:val="center"/>
      </w:pPr>
      <w:r>
        <w:t> </w:t>
      </w:r>
    </w:p>
    <w:p w14:paraId="63BD469F">
      <w:pPr>
        <w:pStyle w:val="3"/>
        <w:keepNext w:val="0"/>
        <w:keepLines w:val="0"/>
        <w:widowControl/>
        <w:suppressLineNumbers w:val="0"/>
        <w:jc w:val="center"/>
      </w:pPr>
      <w:r>
        <w:t>第三章  认定机构与专家库管理</w:t>
      </w:r>
    </w:p>
    <w:p w14:paraId="3986A2BC">
      <w:pPr>
        <w:pStyle w:val="3"/>
        <w:keepNext w:val="0"/>
        <w:keepLines w:val="0"/>
        <w:widowControl/>
        <w:suppressLineNumbers w:val="0"/>
        <w:jc w:val="both"/>
      </w:pPr>
      <w:r>
        <w:t>第八条 市、县（市）区级卫生健康行政部门负责本行政区域管辖范围内的医师过度医疗和医疗欺诈行为的调查启动、组织认定、处理及相关监督管理活动。卫生健康监督机构受卫生健康行政部门委托开展具体工作。</w:t>
      </w:r>
    </w:p>
    <w:p w14:paraId="5105CBE5">
      <w:pPr>
        <w:pStyle w:val="3"/>
        <w:keepNext w:val="0"/>
        <w:keepLines w:val="0"/>
        <w:widowControl/>
        <w:suppressLineNumbers w:val="0"/>
        <w:jc w:val="both"/>
      </w:pPr>
      <w:r>
        <w:t>第九条 市、县（市）区级卫生健康行政部门应当分别组建“过度医疗和医疗欺诈行为认定专家库”（以下简称专家库），明确专家库管理要求。</w:t>
      </w:r>
    </w:p>
    <w:p w14:paraId="2B2579B2">
      <w:pPr>
        <w:pStyle w:val="3"/>
        <w:keepNext w:val="0"/>
        <w:keepLines w:val="0"/>
        <w:widowControl/>
        <w:suppressLineNumbers w:val="0"/>
        <w:jc w:val="both"/>
      </w:pPr>
      <w:r>
        <w:t>专家库成员应当从临床、药学、护理、医技、公卫、执法、医保管理、医疗质量管理等相关领域的专业人员中遴选，其中临床、药学、医技类专业技术人员应当占专家库总人数的三分之二以上。对于复杂、疑难案件，经卫生健康行政部门批准，可聘请专家库以外的相关领域专家，人数不超过专家组总人数的三分之一。</w:t>
      </w:r>
    </w:p>
    <w:p w14:paraId="3A402670">
      <w:pPr>
        <w:pStyle w:val="3"/>
        <w:keepNext w:val="0"/>
        <w:keepLines w:val="0"/>
        <w:widowControl/>
        <w:suppressLineNumbers w:val="0"/>
        <w:jc w:val="both"/>
      </w:pPr>
      <w:r>
        <w:t>第十条 卫生健康行政部门根据案件涉及专业，在专家库中抽取专家，并成立“过度医疗和医疗欺诈行为认定专家组”（以下简称专家组）。</w:t>
      </w:r>
    </w:p>
    <w:p w14:paraId="0D860324">
      <w:pPr>
        <w:pStyle w:val="3"/>
        <w:keepNext w:val="0"/>
        <w:keepLines w:val="0"/>
        <w:widowControl/>
        <w:suppressLineNumbers w:val="0"/>
        <w:jc w:val="both"/>
      </w:pPr>
      <w:r>
        <w:t>专家组组成人员应当为3至5人单数。对于诊疗内容涉及面广，复杂、疑难或者特殊的认定，专家组组成人员可以增加到7人。</w:t>
      </w:r>
    </w:p>
    <w:p w14:paraId="07DC6000">
      <w:pPr>
        <w:pStyle w:val="3"/>
        <w:keepNext w:val="0"/>
        <w:keepLines w:val="0"/>
        <w:widowControl/>
        <w:suppressLineNumbers w:val="0"/>
        <w:jc w:val="both"/>
      </w:pPr>
      <w:r>
        <w:t>专家组设组长1名，由卫生健康行政部门指定。专家组组长负责组织专家开展过度医疗和医疗欺诈行为认定工作。</w:t>
      </w:r>
    </w:p>
    <w:p w14:paraId="0AF5861D">
      <w:pPr>
        <w:pStyle w:val="3"/>
        <w:keepNext w:val="0"/>
        <w:keepLines w:val="0"/>
        <w:widowControl/>
        <w:suppressLineNumbers w:val="0"/>
        <w:jc w:val="both"/>
      </w:pPr>
      <w:r>
        <w:t>被抽取的专家应当按要求参加认定工作；拒绝参加且不能提供正当理由的，由卫生健康行政部门移出专家库。</w:t>
      </w:r>
    </w:p>
    <w:p w14:paraId="1C9BF8C0">
      <w:pPr>
        <w:pStyle w:val="3"/>
        <w:keepNext w:val="0"/>
        <w:keepLines w:val="0"/>
        <w:widowControl/>
        <w:suppressLineNumbers w:val="0"/>
        <w:jc w:val="both"/>
      </w:pPr>
      <w:r>
        <w:t>第十一条 专家库成员实行回避制度。具有下列情形之一的，应当回避：</w:t>
      </w:r>
    </w:p>
    <w:p w14:paraId="513F0702">
      <w:pPr>
        <w:pStyle w:val="3"/>
        <w:keepNext w:val="0"/>
        <w:keepLines w:val="0"/>
        <w:widowControl/>
        <w:suppressLineNumbers w:val="0"/>
        <w:jc w:val="both"/>
      </w:pPr>
      <w:r>
        <w:t>（一）是本案的当事人、举报投诉人、涉事医师，或者是其近亲属的；</w:t>
      </w:r>
    </w:p>
    <w:p w14:paraId="569B15EC">
      <w:pPr>
        <w:pStyle w:val="3"/>
        <w:keepNext w:val="0"/>
        <w:keepLines w:val="0"/>
        <w:widowControl/>
        <w:suppressLineNumbers w:val="0"/>
        <w:jc w:val="both"/>
      </w:pPr>
      <w:r>
        <w:t>（二）本人或者其近亲属与本案的处理结果有直接利害关系的；</w:t>
      </w:r>
    </w:p>
    <w:p w14:paraId="72BE4D84">
      <w:pPr>
        <w:pStyle w:val="3"/>
        <w:keepNext w:val="0"/>
        <w:keepLines w:val="0"/>
        <w:widowControl/>
        <w:suppressLineNumbers w:val="0"/>
        <w:jc w:val="both"/>
      </w:pPr>
      <w:r>
        <w:t>（三）与涉事医师存在同一执业机构等可能显著影响认定公正性的密切关系的；</w:t>
      </w:r>
    </w:p>
    <w:p w14:paraId="5330E36F">
      <w:pPr>
        <w:pStyle w:val="3"/>
        <w:keepNext w:val="0"/>
        <w:keepLines w:val="0"/>
        <w:widowControl/>
        <w:suppressLineNumbers w:val="0"/>
        <w:jc w:val="both"/>
      </w:pPr>
      <w:r>
        <w:t>（四）存在其他可能影响公正认定，经卫生健康行政部门核查，应当回避的情形。</w:t>
      </w:r>
    </w:p>
    <w:p w14:paraId="2330EA60">
      <w:pPr>
        <w:pStyle w:val="3"/>
        <w:keepNext w:val="0"/>
        <w:keepLines w:val="0"/>
        <w:widowControl/>
        <w:suppressLineNumbers w:val="0"/>
        <w:jc w:val="both"/>
      </w:pPr>
      <w:r>
        <w:t>第十二条 专家的回避由卫生健康行政部门决定。</w:t>
      </w:r>
    </w:p>
    <w:p w14:paraId="5F67902B">
      <w:pPr>
        <w:pStyle w:val="3"/>
        <w:keepNext w:val="0"/>
        <w:keepLines w:val="0"/>
        <w:widowControl/>
        <w:suppressLineNumbers w:val="0"/>
        <w:jc w:val="both"/>
      </w:pPr>
      <w:r>
        <w:t>专家申请回避的，应当在收到卫生健康行政部门通知成立专家组之日起2个工作日内提出。</w:t>
      </w:r>
    </w:p>
    <w:p w14:paraId="261F586E">
      <w:pPr>
        <w:pStyle w:val="3"/>
        <w:keepNext w:val="0"/>
        <w:keepLines w:val="0"/>
        <w:widowControl/>
        <w:suppressLineNumbers w:val="0"/>
        <w:jc w:val="both"/>
      </w:pPr>
      <w:r>
        <w:t>卫生健康行政部门收到回避申请后，应当及时进行审查，并在收到申请之日起2个工作日内作出是否回避的决定，告知回避申请人。决定专家回避的，应当更换专家。因回避需重新抽取专家的，材料移交及认定时限自新的专家组确定之日起重新计算。</w:t>
      </w:r>
    </w:p>
    <w:p w14:paraId="34068693">
      <w:pPr>
        <w:pStyle w:val="3"/>
        <w:keepNext w:val="0"/>
        <w:keepLines w:val="0"/>
        <w:widowControl/>
        <w:suppressLineNumbers w:val="0"/>
        <w:jc w:val="both"/>
      </w:pPr>
      <w:r>
        <w:t>第十三条 专家对认定过程中知悉的信息负有保密义务。未经卫生健康行政部门同意，不得私自复制、摘抄、携带、披露案件材料及认定意见。</w:t>
      </w:r>
    </w:p>
    <w:p w14:paraId="2C58BA82">
      <w:pPr>
        <w:pStyle w:val="3"/>
        <w:keepNext w:val="0"/>
        <w:keepLines w:val="0"/>
        <w:widowControl/>
        <w:suppressLineNumbers w:val="0"/>
        <w:jc w:val="both"/>
      </w:pPr>
      <w:r>
        <w:t>专家组不得以本组名义对外出具文书或作出行政决定。</w:t>
      </w:r>
    </w:p>
    <w:p w14:paraId="6CFC9C74">
      <w:pPr>
        <w:pStyle w:val="3"/>
        <w:keepNext w:val="0"/>
        <w:keepLines w:val="0"/>
        <w:widowControl/>
        <w:suppressLineNumbers w:val="0"/>
        <w:jc w:val="center"/>
      </w:pPr>
      <w:r>
        <w:t> </w:t>
      </w:r>
    </w:p>
    <w:p w14:paraId="6F867BA6">
      <w:pPr>
        <w:pStyle w:val="3"/>
        <w:keepNext w:val="0"/>
        <w:keepLines w:val="0"/>
        <w:widowControl/>
        <w:suppressLineNumbers w:val="0"/>
        <w:jc w:val="center"/>
      </w:pPr>
      <w:r>
        <w:t>第四章  认定程序</w:t>
      </w:r>
    </w:p>
    <w:p w14:paraId="03992D59">
      <w:pPr>
        <w:pStyle w:val="3"/>
        <w:keepNext w:val="0"/>
        <w:keepLines w:val="0"/>
        <w:widowControl/>
        <w:suppressLineNumbers w:val="0"/>
        <w:jc w:val="both"/>
      </w:pPr>
      <w:r>
        <w:t>第十四条 具备下列情形之一的，卫生健康行政部门应当组织卫生健康监督机构启动调查：</w:t>
      </w:r>
    </w:p>
    <w:p w14:paraId="175950F1">
      <w:pPr>
        <w:pStyle w:val="3"/>
        <w:keepNext w:val="0"/>
        <w:keepLines w:val="0"/>
        <w:widowControl/>
        <w:suppressLineNumbers w:val="0"/>
        <w:jc w:val="both"/>
      </w:pPr>
      <w:r>
        <w:t>（一）接到患者、群众实名投诉举报并提供初步证据的；</w:t>
      </w:r>
    </w:p>
    <w:p w14:paraId="3AB3AB22">
      <w:pPr>
        <w:pStyle w:val="3"/>
        <w:keepNext w:val="0"/>
        <w:keepLines w:val="0"/>
        <w:widowControl/>
        <w:suppressLineNumbers w:val="0"/>
        <w:jc w:val="both"/>
      </w:pPr>
      <w:r>
        <w:t>（二）卫生健康行政部门、卫生健康监督机构在日常监督、专项检查、医院巡查、医疗质量评估中发现的；</w:t>
      </w:r>
    </w:p>
    <w:p w14:paraId="3F77284F">
      <w:pPr>
        <w:pStyle w:val="3"/>
        <w:keepNext w:val="0"/>
        <w:keepLines w:val="0"/>
        <w:widowControl/>
        <w:suppressLineNumbers w:val="0"/>
        <w:jc w:val="both"/>
      </w:pPr>
      <w:r>
        <w:t>（三）医疗事故技术鉴定结论提示存在过度医疗或医疗欺诈嫌疑涉及的；</w:t>
      </w:r>
    </w:p>
    <w:p w14:paraId="6F45822E">
      <w:pPr>
        <w:pStyle w:val="3"/>
        <w:keepNext w:val="0"/>
        <w:keepLines w:val="0"/>
        <w:widowControl/>
        <w:suppressLineNumbers w:val="0"/>
        <w:jc w:val="both"/>
      </w:pPr>
      <w:r>
        <w:t>（四）上级单位交办或医保、审计、公安、纪检监察等其他部门移送的；</w:t>
      </w:r>
    </w:p>
    <w:p w14:paraId="4CE6A463">
      <w:pPr>
        <w:pStyle w:val="3"/>
        <w:keepNext w:val="0"/>
        <w:keepLines w:val="0"/>
        <w:widowControl/>
        <w:suppressLineNumbers w:val="0"/>
        <w:jc w:val="both"/>
      </w:pPr>
      <w:r>
        <w:t>（五）其他依法应当调查的情形。</w:t>
      </w:r>
    </w:p>
    <w:p w14:paraId="39174172">
      <w:pPr>
        <w:pStyle w:val="3"/>
        <w:keepNext w:val="0"/>
        <w:keepLines w:val="0"/>
        <w:widowControl/>
        <w:suppressLineNumbers w:val="0"/>
        <w:jc w:val="both"/>
      </w:pPr>
      <w:r>
        <w:t>第十五条 卫生健康监督机构应当自接到卫生健康行政部门调查通知后，组织人员立即开展调查，全面、客观、公正地收集证据。在调查过程中，应当依法保障涉事医师的陈述权和申辩权，对涉事医生、医疗机构有关人员、投诉人等开展询问，并调取下列材料：</w:t>
      </w:r>
    </w:p>
    <w:p w14:paraId="1FAF80C3">
      <w:pPr>
        <w:pStyle w:val="3"/>
        <w:keepNext w:val="0"/>
        <w:keepLines w:val="0"/>
        <w:widowControl/>
        <w:suppressLineNumbers w:val="0"/>
        <w:jc w:val="both"/>
      </w:pPr>
      <w:r>
        <w:t>（一）涉案诊疗服务过程说明；</w:t>
      </w:r>
    </w:p>
    <w:p w14:paraId="5F4DB1EC">
      <w:pPr>
        <w:pStyle w:val="3"/>
        <w:keepNext w:val="0"/>
        <w:keepLines w:val="0"/>
        <w:widowControl/>
        <w:suppressLineNumbers w:val="0"/>
        <w:jc w:val="both"/>
      </w:pPr>
      <w:r>
        <w:t>（二）涉案诊疗行为相关的病历资料（包括但不限于诊疗记录、相关处方、检验检查报告、手术记录书、手术、特殊治疗、麻醉知情同意书等）；</w:t>
      </w:r>
    </w:p>
    <w:p w14:paraId="292948F6">
      <w:pPr>
        <w:pStyle w:val="3"/>
        <w:keepNext w:val="0"/>
        <w:keepLines w:val="0"/>
        <w:widowControl/>
        <w:suppressLineNumbers w:val="0"/>
        <w:jc w:val="both"/>
      </w:pPr>
      <w:r>
        <w:t>（三）涉案诊疗行为相关的费用清单、票据、结算凭证等；</w:t>
      </w:r>
    </w:p>
    <w:p w14:paraId="6D9DA84E">
      <w:pPr>
        <w:pStyle w:val="3"/>
        <w:keepNext w:val="0"/>
        <w:keepLines w:val="0"/>
        <w:widowControl/>
        <w:suppressLineNumbers w:val="0"/>
        <w:jc w:val="both"/>
      </w:pPr>
      <w:r>
        <w:t>（四）如系投诉案件或经医疗事故技术鉴定的，应包括投诉材料、医疗事故技术鉴定报告及相关证据；</w:t>
      </w:r>
    </w:p>
    <w:p w14:paraId="16A7CA70">
      <w:pPr>
        <w:pStyle w:val="3"/>
        <w:keepNext w:val="0"/>
        <w:keepLines w:val="0"/>
        <w:widowControl/>
        <w:suppressLineNumbers w:val="0"/>
        <w:jc w:val="both"/>
      </w:pPr>
      <w:r>
        <w:t>（五）相关人员询问笔录、证人证言等；</w:t>
      </w:r>
    </w:p>
    <w:p w14:paraId="77F4A2C4">
      <w:pPr>
        <w:pStyle w:val="3"/>
        <w:keepNext w:val="0"/>
        <w:keepLines w:val="0"/>
        <w:widowControl/>
        <w:suppressLineNumbers w:val="0"/>
        <w:jc w:val="both"/>
      </w:pPr>
      <w:r>
        <w:t>（六）电子数据、实物证据等证据材料。</w:t>
      </w:r>
    </w:p>
    <w:p w14:paraId="2A92BE79">
      <w:pPr>
        <w:pStyle w:val="3"/>
        <w:keepNext w:val="0"/>
        <w:keepLines w:val="0"/>
        <w:widowControl/>
        <w:suppressLineNumbers w:val="0"/>
        <w:jc w:val="both"/>
      </w:pPr>
      <w:r>
        <w:t>第十六条 必要时，经卫生健康行政部门同意，卫生健康监督机构可以在专家库中抽取1至3名专家配合开展调查，提供专业技术支持，其提供的咨询意见仅作调查参考，不载入认定意见书。</w:t>
      </w:r>
    </w:p>
    <w:p w14:paraId="727BB90B">
      <w:pPr>
        <w:pStyle w:val="3"/>
        <w:keepNext w:val="0"/>
        <w:keepLines w:val="0"/>
        <w:widowControl/>
        <w:suppressLineNumbers w:val="0"/>
        <w:jc w:val="both"/>
      </w:pPr>
      <w:r>
        <w:t>参与前期调查的专家不得担任同一案件的认定专家。</w:t>
      </w:r>
    </w:p>
    <w:p w14:paraId="274BA4E5">
      <w:pPr>
        <w:pStyle w:val="3"/>
        <w:keepNext w:val="0"/>
        <w:keepLines w:val="0"/>
        <w:widowControl/>
        <w:suppressLineNumbers w:val="0"/>
        <w:jc w:val="both"/>
      </w:pPr>
      <w:r>
        <w:t>第十七条 调查结束后，卫生健康监督机构应当对事实、证据进行梳理，形成调查报告，并就是否涉嫌过度医疗或医疗欺诈提出明确意见，报请同级卫生健康行政部门审查决定是否启动专家认定程序。</w:t>
      </w:r>
    </w:p>
    <w:p w14:paraId="110C1701">
      <w:pPr>
        <w:pStyle w:val="3"/>
        <w:keepNext w:val="0"/>
        <w:keepLines w:val="0"/>
        <w:widowControl/>
        <w:suppressLineNumbers w:val="0"/>
        <w:jc w:val="both"/>
      </w:pPr>
      <w:r>
        <w:t>第十八条 卫生健康行政部门决定启动认定程序后，应当根据案情需要及所涉专业，从专家库中抽取专家，组成专家组，指定组长，并告知卫生健康监督机构做好调查获取的案件材料移交工作。</w:t>
      </w:r>
    </w:p>
    <w:p w14:paraId="15614D5D">
      <w:pPr>
        <w:pStyle w:val="3"/>
        <w:keepNext w:val="0"/>
        <w:keepLines w:val="0"/>
        <w:widowControl/>
        <w:suppressLineNumbers w:val="0"/>
        <w:jc w:val="both"/>
      </w:pPr>
      <w:r>
        <w:t>卫生健康监督机构应当在接到卫生健康行政部门通知后3个工作日内，将调查获取的案件材料移送专家组，并办理书面交接手续。</w:t>
      </w:r>
    </w:p>
    <w:p w14:paraId="5318F066">
      <w:pPr>
        <w:pStyle w:val="3"/>
        <w:keepNext w:val="0"/>
        <w:keepLines w:val="0"/>
        <w:widowControl/>
        <w:suppressLineNumbers w:val="0"/>
        <w:jc w:val="both"/>
      </w:pPr>
      <w:r>
        <w:t>材料移交不全的，专家组应当一次性书面告知需补正的材料清单，卫生健康监督机构应当在3个工作日内补齐。材料补齐后，由专家组出具《材料收齐确认书》。</w:t>
      </w:r>
    </w:p>
    <w:p w14:paraId="17A6F089">
      <w:pPr>
        <w:pStyle w:val="3"/>
        <w:keepNext w:val="0"/>
        <w:keepLines w:val="0"/>
        <w:widowControl/>
        <w:suppressLineNumbers w:val="0"/>
        <w:jc w:val="both"/>
      </w:pPr>
      <w:r>
        <w:t>第十九条 专家组应当自书面确认收齐全部所需认定材料之日起10个工作日内，完成认定工作并提出认定意见。</w:t>
      </w:r>
    </w:p>
    <w:p w14:paraId="54B5216D">
      <w:pPr>
        <w:pStyle w:val="3"/>
        <w:keepNext w:val="0"/>
        <w:keepLines w:val="0"/>
        <w:widowControl/>
        <w:suppressLineNumbers w:val="0"/>
        <w:jc w:val="both"/>
      </w:pPr>
      <w:r>
        <w:t>对于诊疗过程复杂、争议较大的疑难案件，确有需要的，经卫生健康行政部门批准，认定工作可以延长10个工作日。</w:t>
      </w:r>
    </w:p>
    <w:p w14:paraId="115DF9FB">
      <w:pPr>
        <w:pStyle w:val="3"/>
        <w:keepNext w:val="0"/>
        <w:keepLines w:val="0"/>
        <w:widowControl/>
        <w:suppressLineNumbers w:val="0"/>
        <w:jc w:val="both"/>
      </w:pPr>
      <w:r>
        <w:t>专家组认为必要时，报请同级卫生健康行政部门同意后，可以咨询法律顾问、行业协会、相关第三方专业机构，其提供的咨询意见可以作为认定工作的参考，但不作为认定意见的直接依据。</w:t>
      </w:r>
    </w:p>
    <w:p w14:paraId="6AF9FF6A">
      <w:pPr>
        <w:pStyle w:val="3"/>
        <w:keepNext w:val="0"/>
        <w:keepLines w:val="0"/>
        <w:widowControl/>
        <w:suppressLineNumbers w:val="0"/>
        <w:jc w:val="both"/>
      </w:pPr>
      <w:r>
        <w:t>第二十条 专家组应当独立、公正地开展认定工作，依据事实、证据、诊疗规范及相关法律法规，围绕医疗行为的必要性、合理性、规范性以及是否存在过度医疗、医疗欺诈等核心事宜，进行充分讨论。</w:t>
      </w:r>
    </w:p>
    <w:p w14:paraId="09BC0871">
      <w:pPr>
        <w:pStyle w:val="3"/>
        <w:keepNext w:val="0"/>
        <w:keepLines w:val="0"/>
        <w:widowControl/>
        <w:suppressLineNumbers w:val="0"/>
        <w:jc w:val="both"/>
      </w:pPr>
      <w:r>
        <w:t>专家组在认定过程中，如认为有必要，经卫生健康行政部门同意，可以要求涉事医师就专业问题提交书面说明材料。涉事医师提交的材料应当如实记录，并归入认定工作档案。</w:t>
      </w:r>
    </w:p>
    <w:p w14:paraId="76339512">
      <w:pPr>
        <w:pStyle w:val="3"/>
        <w:keepNext w:val="0"/>
        <w:keepLines w:val="0"/>
        <w:widowControl/>
        <w:suppressLineNumbers w:val="0"/>
        <w:jc w:val="both"/>
      </w:pPr>
      <w:r>
        <w:t>认定意见应当以会议形式，经集体讨论、表决后，按照少数服从多数的原则形成。由专家组组长主持起草《过度医疗和医疗欺诈行为认定意见书》。认定意见书应当载明每位专家的具体表决意向（同意、不同意或弃权），并由同意的专家成员签名。持不同意见的专家，可以不在意见书上签名，但应当出具署名的书面不同意见，并作为附件归入认定工作档案，一并提交卫生健康行政部门和卫生健康监督机构。</w:t>
      </w:r>
    </w:p>
    <w:p w14:paraId="73B297D3">
      <w:pPr>
        <w:pStyle w:val="3"/>
        <w:keepNext w:val="0"/>
        <w:keepLines w:val="0"/>
        <w:widowControl/>
        <w:suppressLineNumbers w:val="0"/>
        <w:jc w:val="both"/>
      </w:pPr>
      <w:r>
        <w:t>第二十一条 《过度医疗和医疗欺诈行为认定意见书》应当包括以下内容：</w:t>
      </w:r>
    </w:p>
    <w:p w14:paraId="1FEE1BF5">
      <w:pPr>
        <w:pStyle w:val="3"/>
        <w:keepNext w:val="0"/>
        <w:keepLines w:val="0"/>
        <w:widowControl/>
        <w:suppressLineNumbers w:val="0"/>
        <w:jc w:val="both"/>
      </w:pPr>
      <w:r>
        <w:t>（一）认定事项及认定起止时间；</w:t>
      </w:r>
    </w:p>
    <w:p w14:paraId="50FED598">
      <w:pPr>
        <w:pStyle w:val="3"/>
        <w:keepNext w:val="0"/>
        <w:keepLines w:val="0"/>
        <w:widowControl/>
        <w:suppressLineNumbers w:val="0"/>
        <w:jc w:val="both"/>
      </w:pPr>
      <w:r>
        <w:t>（二）卫生健康监督机构移交材料及涉事医师、医疗机构提交的材料等目录；</w:t>
      </w:r>
    </w:p>
    <w:p w14:paraId="524ED69A">
      <w:pPr>
        <w:pStyle w:val="3"/>
        <w:keepNext w:val="0"/>
        <w:keepLines w:val="0"/>
        <w:widowControl/>
        <w:suppressLineNumbers w:val="0"/>
        <w:jc w:val="both"/>
      </w:pPr>
      <w:r>
        <w:t>（三）认定过程说明；</w:t>
      </w:r>
    </w:p>
    <w:p w14:paraId="4C57C55E">
      <w:pPr>
        <w:pStyle w:val="3"/>
        <w:keepNext w:val="0"/>
        <w:keepLines w:val="0"/>
        <w:widowControl/>
        <w:suppressLineNumbers w:val="0"/>
        <w:jc w:val="both"/>
      </w:pPr>
      <w:r>
        <w:t>（四）分析说明（主要包括：医师采取的医疗行为是否合乎诊疗规范；医疗行为是否可以避免或由其他诊疗行为替代；实施的检查和治疗是否必要等；或医师提供医疗服务过程中，是否存在以虚假诊断、夸大病情或者疗效等方式，欺骗、诱使患者接受诊疗的情节或行为等）；</w:t>
      </w:r>
    </w:p>
    <w:p w14:paraId="0DEB3FC2">
      <w:pPr>
        <w:pStyle w:val="3"/>
        <w:keepNext w:val="0"/>
        <w:keepLines w:val="0"/>
        <w:widowControl/>
        <w:suppressLineNumbers w:val="0"/>
        <w:jc w:val="both"/>
      </w:pPr>
      <w:r>
        <w:t>（五）认定所依据的主要证据以及临床诊疗指南、技术操作规范和技术指南等；</w:t>
      </w:r>
    </w:p>
    <w:p w14:paraId="1ACC352B">
      <w:pPr>
        <w:pStyle w:val="3"/>
        <w:keepNext w:val="0"/>
        <w:keepLines w:val="0"/>
        <w:widowControl/>
        <w:suppressLineNumbers w:val="0"/>
        <w:jc w:val="both"/>
      </w:pPr>
      <w:r>
        <w:t>（六）专家组成员名单及表决情况（应到、实到、同意、不同意、弃权及是否过半数通过）；</w:t>
      </w:r>
    </w:p>
    <w:p w14:paraId="23ACE2F9">
      <w:pPr>
        <w:pStyle w:val="3"/>
        <w:keepNext w:val="0"/>
        <w:keepLines w:val="0"/>
        <w:widowControl/>
        <w:suppressLineNumbers w:val="0"/>
        <w:jc w:val="both"/>
      </w:pPr>
      <w:r>
        <w:t>（七）认定结论；</w:t>
      </w:r>
    </w:p>
    <w:p w14:paraId="4E0A472D">
      <w:pPr>
        <w:pStyle w:val="3"/>
        <w:keepNext w:val="0"/>
        <w:keepLines w:val="0"/>
        <w:widowControl/>
        <w:suppressLineNumbers w:val="0"/>
        <w:jc w:val="both"/>
      </w:pPr>
      <w:r>
        <w:t>（八）其他需要说明的事项。</w:t>
      </w:r>
    </w:p>
    <w:p w14:paraId="0892BA82">
      <w:pPr>
        <w:pStyle w:val="3"/>
        <w:keepNext w:val="0"/>
        <w:keepLines w:val="0"/>
        <w:widowControl/>
        <w:suppressLineNumbers w:val="0"/>
        <w:jc w:val="both"/>
      </w:pPr>
      <w:r>
        <w:t>第二十二条 认定意见应当在行政处罚告知前形成。卫生健康行政部门或监督机构应当在行政处罚事先告知书中向涉事医师载明认定结论的概要，保障其知情权。认定意见应当归入案卷。</w:t>
      </w:r>
    </w:p>
    <w:p w14:paraId="2A69744B">
      <w:pPr>
        <w:pStyle w:val="3"/>
        <w:keepNext w:val="0"/>
        <w:keepLines w:val="0"/>
        <w:widowControl/>
        <w:suppressLineNumbers w:val="0"/>
        <w:jc w:val="both"/>
      </w:pPr>
      <w:r>
        <w:t>第二十三条 卫生健康行政部门、卫生健康监督机构如发现认定意见书表述不完整或存在文书瑕疵，应当要求专家组予以补充完善或者更正。</w:t>
      </w:r>
    </w:p>
    <w:p w14:paraId="4B65EACA">
      <w:pPr>
        <w:pStyle w:val="3"/>
        <w:keepNext w:val="0"/>
        <w:keepLines w:val="0"/>
        <w:widowControl/>
        <w:suppressLineNumbers w:val="0"/>
        <w:jc w:val="both"/>
      </w:pPr>
      <w:r>
        <w:t>第二十四条 专家认定工作有下列情形之一的，认定意见不得作为行政执法依据，卫生健康行政部门应当撤销原认定意见并重新组织认定：​</w:t>
      </w:r>
    </w:p>
    <w:p w14:paraId="05A83C69">
      <w:pPr>
        <w:pStyle w:val="3"/>
        <w:keepNext w:val="0"/>
        <w:keepLines w:val="0"/>
        <w:widowControl/>
        <w:suppressLineNumbers w:val="0"/>
        <w:jc w:val="both"/>
      </w:pPr>
      <w:r>
        <w:t>（一）专家应当回避而未回避的；​</w:t>
      </w:r>
    </w:p>
    <w:p w14:paraId="5A3A2958">
      <w:pPr>
        <w:pStyle w:val="3"/>
        <w:keepNext w:val="0"/>
        <w:keepLines w:val="0"/>
        <w:widowControl/>
        <w:suppressLineNumbers w:val="0"/>
        <w:jc w:val="both"/>
      </w:pPr>
      <w:r>
        <w:t>（二）专家组组成违反本办法第十条、第十一条规定的；</w:t>
      </w:r>
    </w:p>
    <w:p w14:paraId="1338D97B">
      <w:pPr>
        <w:pStyle w:val="3"/>
        <w:keepNext w:val="0"/>
        <w:keepLines w:val="0"/>
        <w:widowControl/>
        <w:suppressLineNumbers w:val="0"/>
        <w:jc w:val="both"/>
      </w:pPr>
      <w:r>
        <w:t>（三）认定意见系伪造、代签或者未经专家组实质讨论表决的；​</w:t>
      </w:r>
    </w:p>
    <w:p w14:paraId="7C13870C">
      <w:pPr>
        <w:pStyle w:val="3"/>
        <w:keepNext w:val="0"/>
        <w:keepLines w:val="0"/>
        <w:widowControl/>
        <w:suppressLineNumbers w:val="0"/>
        <w:jc w:val="both"/>
      </w:pPr>
      <w:r>
        <w:t>（四）其他致使认定意见丧失证据资格的重大情形。​</w:t>
      </w:r>
    </w:p>
    <w:p w14:paraId="22D61D87">
      <w:pPr>
        <w:pStyle w:val="3"/>
        <w:keepNext w:val="0"/>
        <w:keepLines w:val="0"/>
        <w:widowControl/>
        <w:suppressLineNumbers w:val="0"/>
        <w:jc w:val="both"/>
      </w:pPr>
      <w:r>
        <w:t>已依据该认定意见作出行政处罚决定的，依照《中华人民共和国行政处罚法》规定主动改正。</w:t>
      </w:r>
    </w:p>
    <w:p w14:paraId="6FD39FEC">
      <w:pPr>
        <w:pStyle w:val="3"/>
        <w:keepNext w:val="0"/>
        <w:keepLines w:val="0"/>
        <w:widowControl/>
        <w:suppressLineNumbers w:val="0"/>
        <w:jc w:val="center"/>
      </w:pPr>
      <w:r>
        <w:t> </w:t>
      </w:r>
    </w:p>
    <w:p w14:paraId="4E957D54">
      <w:pPr>
        <w:pStyle w:val="3"/>
        <w:keepNext w:val="0"/>
        <w:keepLines w:val="0"/>
        <w:widowControl/>
        <w:suppressLineNumbers w:val="0"/>
        <w:jc w:val="center"/>
      </w:pPr>
      <w:r>
        <w:t>第五章  处理与监督</w:t>
      </w:r>
    </w:p>
    <w:p w14:paraId="298D7679">
      <w:pPr>
        <w:pStyle w:val="3"/>
        <w:keepNext w:val="0"/>
        <w:keepLines w:val="0"/>
        <w:widowControl/>
        <w:suppressLineNumbers w:val="0"/>
        <w:jc w:val="both"/>
      </w:pPr>
      <w:r>
        <w:t>第二十五条 经认定构成过度医疗或医疗欺诈的，应当在全面履行立案、调查取证、法制审核、告知当事人陈述申辩及听证权利等法定程序后，严格依照《中华人民共和国医师法》等法律法规，对负有责任的医师及相关医务人员给予警告、罚款、责令暂停执业活动、吊销医师执业证书等行政处罚；涉及医保、审计、公安、纪检监察等其他部门管辖范围的，应当依法依规同步移送相关线索；涉嫌犯罪的，依法移送公安机关立案侦查，追究刑事责任。</w:t>
      </w:r>
    </w:p>
    <w:p w14:paraId="16803D60">
      <w:pPr>
        <w:pStyle w:val="3"/>
        <w:keepNext w:val="0"/>
        <w:keepLines w:val="0"/>
        <w:widowControl/>
        <w:suppressLineNumbers w:val="0"/>
        <w:jc w:val="both"/>
      </w:pPr>
      <w:r>
        <w:t> 涉事医师对认定意见有异议的，可以在行政处罚程序中依法进行陈述、申辩，要求举行听证，或者在法定期限内申请行政复议、提起行政诉讼。</w:t>
      </w:r>
    </w:p>
    <w:p w14:paraId="10193CEC">
      <w:pPr>
        <w:pStyle w:val="3"/>
        <w:keepNext w:val="0"/>
        <w:keepLines w:val="0"/>
        <w:widowControl/>
        <w:suppressLineNumbers w:val="0"/>
        <w:jc w:val="both"/>
      </w:pPr>
      <w:r>
        <w:t>第二十六条 卫生健康监督机构应当将已生效的行政处罚决定、司法判决中确认的过度医疗、医疗欺诈行为及相关责任主体（含医务人员及医疗机构）信息，记入医务人员、医疗机构执业档案及不良执业行为记分，并按规定推送至公共信用信息平台；对符合国家和省失信联合惩戒规定的情形的，依法依规实施联合惩戒。</w:t>
      </w:r>
    </w:p>
    <w:p w14:paraId="1C73F60E">
      <w:pPr>
        <w:pStyle w:val="3"/>
        <w:keepNext w:val="0"/>
        <w:keepLines w:val="0"/>
        <w:widowControl/>
        <w:suppressLineNumbers w:val="0"/>
        <w:jc w:val="both"/>
      </w:pPr>
      <w:r>
        <w:t>第二十七条 专家在认定工作中存在收受不正当利益、故意出具虚假或明显错误认定意见、重大过失导致认定结论严重失实等行为的，由卫生健康行政部门取消其专家库成员资格，通报其所在单位，纳入不良执业行为记分，并依规将相关失信信息推送至公共信用信息平台；造成严重后果，涉嫌违纪、违法犯罪的，依法移送纪检监察机关或公安机关处理。</w:t>
      </w:r>
    </w:p>
    <w:p w14:paraId="1242152E">
      <w:pPr>
        <w:pStyle w:val="3"/>
        <w:keepNext w:val="0"/>
        <w:keepLines w:val="0"/>
        <w:widowControl/>
        <w:suppressLineNumbers w:val="0"/>
        <w:jc w:val="both"/>
      </w:pPr>
      <w:r>
        <w:t>第二十八条 医疗机构应当履行依法执业和医疗质量安全主体责任，建立健全覆盖诊疗全过程的过度医疗与医疗欺诈行为内部识别、预警、监控、自查自纠与责任追究机制。建立健全内部管理机制，将防范处置过度医疗、医疗欺诈情况纳入科室质量管理目标和医务人员医德医风考评内容，作为绩效分配、岗位聘用及评优评先的重要参考；涉及职称推荐申报的，依照国家和省有关规定执行。</w:t>
      </w:r>
    </w:p>
    <w:p w14:paraId="13B2C77B">
      <w:pPr>
        <w:pStyle w:val="3"/>
        <w:keepNext w:val="0"/>
        <w:keepLines w:val="0"/>
        <w:widowControl/>
        <w:suppressLineNumbers w:val="0"/>
        <w:jc w:val="both"/>
      </w:pPr>
      <w:r>
        <w:t> </w:t>
      </w:r>
    </w:p>
    <w:p w14:paraId="44393378">
      <w:pPr>
        <w:pStyle w:val="3"/>
        <w:keepNext w:val="0"/>
        <w:keepLines w:val="0"/>
        <w:widowControl/>
        <w:suppressLineNumbers w:val="0"/>
        <w:jc w:val="center"/>
      </w:pPr>
      <w:r>
        <w:t>第六章 资金保障与工作条件</w:t>
      </w:r>
    </w:p>
    <w:p w14:paraId="5E3E4908">
      <w:pPr>
        <w:pStyle w:val="3"/>
        <w:keepNext w:val="0"/>
        <w:keepLines w:val="0"/>
        <w:widowControl/>
        <w:suppressLineNumbers w:val="0"/>
        <w:jc w:val="both"/>
      </w:pPr>
      <w:r>
        <w:t>第二十九条 卫生健康行政部门开展过度医疗和医疗欺诈的调查、认定、信息管理等工作所需经费，应当纳入本单位财政预算予以保障。</w:t>
      </w:r>
    </w:p>
    <w:p w14:paraId="29708981">
      <w:pPr>
        <w:pStyle w:val="3"/>
        <w:keepNext w:val="0"/>
        <w:keepLines w:val="0"/>
        <w:widowControl/>
        <w:suppressLineNumbers w:val="0"/>
        <w:jc w:val="both"/>
      </w:pPr>
      <w:r>
        <w:t>医疗机构应当安排专项经费，用于本机构内部开展诊疗规范培训、医疗质量管理，过度医疗与医疗欺诈行为内部识别、预警、监控、自查自纠等工作。</w:t>
      </w:r>
    </w:p>
    <w:p w14:paraId="5E87A5F8">
      <w:pPr>
        <w:pStyle w:val="3"/>
        <w:keepNext w:val="0"/>
        <w:keepLines w:val="0"/>
        <w:widowControl/>
        <w:suppressLineNumbers w:val="0"/>
        <w:jc w:val="center"/>
      </w:pPr>
      <w:r>
        <w:t> </w:t>
      </w:r>
    </w:p>
    <w:p w14:paraId="1DF80742">
      <w:pPr>
        <w:pStyle w:val="3"/>
        <w:keepNext w:val="0"/>
        <w:keepLines w:val="0"/>
        <w:widowControl/>
        <w:suppressLineNumbers w:val="0"/>
        <w:jc w:val="center"/>
      </w:pPr>
      <w:r>
        <w:t>第七章  附则</w:t>
      </w:r>
    </w:p>
    <w:p w14:paraId="035FE4C7">
      <w:pPr>
        <w:pStyle w:val="3"/>
        <w:keepNext w:val="0"/>
        <w:keepLines w:val="0"/>
        <w:widowControl/>
        <w:suppressLineNumbers w:val="0"/>
        <w:jc w:val="both"/>
      </w:pPr>
      <w:r>
        <w:t>第三十条 本办法所称“诊疗规范”，是指由国家、省级卫生健康行政部门发布，在本行政区域内强制或推荐执行的疾病诊疗指南、临床路径、技术操作规范等。行业学（协）会发布的指南、规范，在不与上位法规定及强制性规范相抵触的前提下，可作为认定工作的参考依据。</w:t>
      </w:r>
    </w:p>
    <w:p w14:paraId="7717EE0B">
      <w:pPr>
        <w:pStyle w:val="3"/>
        <w:keepNext w:val="0"/>
        <w:keepLines w:val="0"/>
        <w:widowControl/>
        <w:suppressLineNumbers w:val="0"/>
        <w:jc w:val="both"/>
      </w:pPr>
      <w:r>
        <w:t>“医学伦理”是指医疗活动应遵循的职业道德和行为规范，包括但不限于《中华人民共和国医师法》《医疗机构从业人员行为规范》等法律法规和行业规范中关于尊重患者、恪守医德、诚实守信、公正廉洁的要求。</w:t>
      </w:r>
    </w:p>
    <w:p w14:paraId="6BD73B66">
      <w:pPr>
        <w:pStyle w:val="3"/>
        <w:keepNext w:val="0"/>
        <w:keepLines w:val="0"/>
        <w:widowControl/>
        <w:suppressLineNumbers w:val="0"/>
        <w:jc w:val="both"/>
      </w:pPr>
      <w:r>
        <w:t>“无正当理由”是指经调查核实，未能提供符合医学专业知识、患者个体病情及当时、当地可及医疗资源条件的合理解释，且经专家组评估认为该解释不符合诊疗规范的。</w:t>
      </w:r>
    </w:p>
    <w:p w14:paraId="359EB691">
      <w:pPr>
        <w:pStyle w:val="3"/>
        <w:keepNext w:val="0"/>
        <w:keepLines w:val="0"/>
        <w:widowControl/>
        <w:suppressLineNumbers w:val="0"/>
        <w:jc w:val="both"/>
      </w:pPr>
      <w:r>
        <w:t>第三十一条 本办法由营口市卫生健康委员会负责解释。</w:t>
      </w:r>
    </w:p>
    <w:p w14:paraId="15D7526E">
      <w:pPr>
        <w:pStyle w:val="3"/>
        <w:keepNext w:val="0"/>
        <w:keepLines w:val="0"/>
        <w:widowControl/>
        <w:suppressLineNumbers w:val="0"/>
        <w:jc w:val="both"/>
      </w:pPr>
      <w:r>
        <w:t>第三十二条 本办法自发布之日起试行，有效期三年。本办法施行期间，国家、省出台相关新规定的，从其规定。</w:t>
      </w:r>
    </w:p>
    <w:p w14:paraId="287156DC">
      <w:pPr>
        <w:pStyle w:val="3"/>
        <w:keepNext w:val="0"/>
        <w:keepLines w:val="0"/>
        <w:widowControl/>
        <w:suppressLineNumbers w:val="0"/>
        <w:jc w:val="both"/>
      </w:pPr>
      <w:r>
        <w:t> </w:t>
      </w:r>
    </w:p>
    <w:p w14:paraId="2CD06618">
      <w:pPr>
        <w:pStyle w:val="3"/>
        <w:keepNext w:val="0"/>
        <w:keepLines w:val="0"/>
        <w:widowControl/>
        <w:suppressLineNumbers w:val="0"/>
      </w:pPr>
      <w:r>
        <w:t> </w:t>
      </w:r>
    </w:p>
    <w:p w14:paraId="66C64201">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panose1 w:val="02000000000000000000"/>
    <w:charset w:val="86"/>
    <w:family w:val="auto"/>
    <w:pitch w:val="default"/>
    <w:sig w:usb0="A00002BF" w:usb1="184F6CFA" w:usb2="00000012" w:usb3="00000000" w:csb0="00040001" w:csb1="00000000"/>
    <w:embedRegular r:id="rId1" w:fontKey="{50896214-E7C5-4243-8118-7E7AA9F5EF5C}"/>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073C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D86E99">
                          <w:pPr>
                            <w:pStyle w:val="2"/>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FD86E99">
                    <w:pPr>
                      <w:pStyle w:val="2"/>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A74878"/>
    <w:rsid w:val="57737583"/>
    <w:rsid w:val="5A092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506</Words>
  <Characters>506</Characters>
  <Lines>0</Lines>
  <Paragraphs>0</Paragraphs>
  <TotalTime>0</TotalTime>
  <ScaleCrop>false</ScaleCrop>
  <LinksUpToDate>false</LinksUpToDate>
  <CharactersWithSpaces>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2026-08-20T06:50:00Z</dcterms:created>
  <dc:creator>changtan</dc:creator>
  <cp:lastModifiedBy>YKLeeL</cp:lastModifiedBy>
  <dcterms:modified xsi:type="dcterms:W3CDTF">2026-10-16T06:26:38Z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eyJoZGlkIjoiM2NlYmU5MmI2MWJlODk2MDI1NjZkNGZiZDcwMDk5M2EiLCJ1c2VySWQiOiIyMzgyMDIxNTQifQ==</vt:lpwstr>
  </property>
  <property fmtid="{D5CDD505-2E9C-101B-9397-08002B2CF9AE}" pid="4" name="ICV">
    <vt:lpwstr>C1925E925B6D46E7B265CFB6AB8E5CE4_12</vt:lpwstr>
  </property>
</Properties>
</file>