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食品安全企业标准编制说明</w:t>
      </w:r>
    </w:p>
    <w:tbl>
      <w:tblPr>
        <w:tblStyle w:val="4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160"/>
        <w:gridCol w:w="2700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营口蓝天盐业有限公司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辽宁（营口）沿海产业基地新联大街东1号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海藻碘海盐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标准主要起草人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赵丽娇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、候庆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 w:line="500" w:lineRule="exact"/>
              <w:ind w:firstLine="241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一、编制过程</w:t>
            </w:r>
          </w:p>
          <w:p>
            <w:pPr>
              <w:spacing w:beforeLines="50" w:afterLines="50" w:line="500" w:lineRule="exact"/>
              <w:ind w:firstLine="241" w:firstLineChars="1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1.任务来源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</w:rPr>
              <w:t>为了满足市场需求，我公司计划生产海藻碘海盐产品，由于目前尚无该类产品的国家、行业标准、地方标准，为了保证食品安全，依据《中华人民共和国食品安全法》和相关规定，制定本企业标准作为组织、生产和产品检验的依据。</w:t>
            </w:r>
          </w:p>
          <w:p>
            <w:pPr>
              <w:spacing w:line="500" w:lineRule="exact"/>
              <w:ind w:firstLine="220" w:firstLineChars="100"/>
              <w:rPr>
                <w:b/>
              </w:rPr>
            </w:pPr>
            <w:r>
              <w:rPr>
                <w:rFonts w:hint="eastAsia"/>
                <w:b/>
              </w:rPr>
              <w:t>2.产品性能特点</w:t>
            </w:r>
          </w:p>
          <w:p>
            <w:pPr>
              <w:spacing w:line="500" w:lineRule="exact"/>
            </w:pPr>
            <w:r>
              <w:rPr>
                <w:rFonts w:hint="eastAsia"/>
              </w:rPr>
              <w:t xml:space="preserve">   海藻碘海盐是</w:t>
            </w:r>
            <w:r>
              <w:rPr>
                <w:rFonts w:hint="eastAsia" w:cs="Times New Roman"/>
              </w:rPr>
              <w:t>以日晒海盐为原料，经洗涤、粉碎、脱卤、干燥、筛分、添加食品营养强化剂海藻碘、包装计量工艺生产的</w:t>
            </w:r>
            <w:r>
              <w:rPr>
                <w:rFonts w:hint="eastAsia"/>
              </w:rPr>
              <w:t>。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</w:rPr>
              <w:t>本产品相对于普通加碘海盐，加入了海藻碘，</w:t>
            </w:r>
            <w:r>
              <w:t>海藻碘和纯的有机碘相比更有利于人体的吸收，海藻碘中的无机碘可以快速被人体吸收利用，而有机态的碘更有利于储存利用。</w:t>
            </w:r>
          </w:p>
          <w:p>
            <w:pPr>
              <w:spacing w:line="500" w:lineRule="exact"/>
              <w:ind w:firstLine="220" w:firstLineChars="100"/>
              <w:rPr>
                <w:b/>
              </w:rPr>
            </w:pPr>
            <w:r>
              <w:rPr>
                <w:rFonts w:hint="eastAsia"/>
                <w:b/>
              </w:rPr>
              <w:t>3.标准起草成员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  <w:lang w:eastAsia="zh-CN"/>
              </w:rPr>
              <w:t>赵丽娇</w:t>
            </w:r>
            <w:r>
              <w:rPr>
                <w:rFonts w:hint="eastAsia"/>
              </w:rPr>
              <w:t>（质检人员），候庆（督查人员）</w:t>
            </w:r>
          </w:p>
          <w:p>
            <w:pPr>
              <w:spacing w:line="500" w:lineRule="exact"/>
              <w:ind w:firstLine="220" w:firstLineChars="100"/>
              <w:rPr>
                <w:b/>
              </w:rPr>
            </w:pPr>
            <w:r>
              <w:rPr>
                <w:rFonts w:hint="eastAsia"/>
                <w:b/>
              </w:rPr>
              <w:t>4.编制过程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</w:rPr>
              <w:t>标准起草从20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月份开始准备起草工作，经过调查市场上同类产品生产、销售情况，学习研究《食品安全法》、《辽宁省食品安全企业标准备案办法》等相关法律法规及《食品安全国家标准》、《食用盐》（GB/T 5461）、食品生产通用卫生规范、食用盐等国家标准、行业标准，于20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月初形成初稿，经征求业内同行及食品专家意见和公司数据验证，20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月完成标准起草工作。</w:t>
            </w:r>
          </w:p>
          <w:p>
            <w:pPr>
              <w:spacing w:line="500" w:lineRule="exact"/>
              <w:ind w:firstLine="220" w:firstLineChars="100"/>
              <w:rPr>
                <w:b/>
              </w:rPr>
            </w:pPr>
            <w:r>
              <w:rPr>
                <w:rFonts w:hint="eastAsia"/>
                <w:b/>
              </w:rPr>
              <w:t>5.与我国法律法规和其他标准的关系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</w:rPr>
              <w:t>我国有关盐产品的国家标准、卫生标准、食品理化、卫生规范等均作为本标准的规范性引用文件。</w:t>
            </w:r>
          </w:p>
          <w:p>
            <w:pPr>
              <w:spacing w:line="500" w:lineRule="exact"/>
              <w:ind w:firstLine="220" w:firstLineChars="100"/>
              <w:rPr>
                <w:b/>
              </w:rPr>
            </w:pPr>
            <w:r>
              <w:rPr>
                <w:rFonts w:hint="eastAsia"/>
                <w:b/>
              </w:rPr>
              <w:t>6.公示情况及反馈意见处理说明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</w:rPr>
              <w:t>本标准自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日起开始公示，共收到一封整改邮件，来自营口卫生监督所，我司经过会议研讨，决定严格按照整改意见进行整改，现已整改完成。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0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241" w:firstLineChars="100"/>
              <w:rPr>
                <w:rFonts w:ascii="仿宋_GB2312" w:hAnsi="Tahoma" w:eastAsia="仿宋_GB2312" w:cstheme="minorBidi"/>
                <w:b/>
                <w:sz w:val="24"/>
                <w:szCs w:val="24"/>
              </w:rPr>
            </w:pPr>
          </w:p>
          <w:p>
            <w:pPr>
              <w:pStyle w:val="9"/>
              <w:ind w:firstLine="241" w:firstLineChars="100"/>
              <w:rPr>
                <w:rFonts w:ascii="仿宋_GB2312" w:hAnsi="Tahoma" w:eastAsia="仿宋_GB2312" w:cstheme="minorBidi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theme="minorBidi"/>
                <w:b/>
                <w:sz w:val="24"/>
                <w:szCs w:val="24"/>
              </w:rPr>
              <w:t>二、标准制定与起草原则</w:t>
            </w:r>
          </w:p>
          <w:p>
            <w:pPr>
              <w:pStyle w:val="9"/>
              <w:ind w:firstLine="241" w:firstLineChars="100"/>
              <w:rPr>
                <w:rFonts w:ascii="仿宋_GB2312" w:hAnsi="Tahoma" w:eastAsia="仿宋_GB2312" w:cstheme="minorBidi"/>
                <w:b/>
                <w:sz w:val="24"/>
                <w:szCs w:val="24"/>
              </w:rPr>
            </w:pPr>
          </w:p>
          <w:p>
            <w:pPr>
              <w:pStyle w:val="9"/>
              <w:ind w:firstLine="220" w:firstLineChars="100"/>
              <w:rPr>
                <w:rFonts w:ascii="Tahoma" w:hAnsi="Tahoma" w:eastAsia="微软雅黑" w:cstheme="minorBidi"/>
                <w:b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b/>
                <w:sz w:val="22"/>
                <w:szCs w:val="22"/>
              </w:rPr>
              <w:t>1.以现行法律法规为依据</w:t>
            </w:r>
          </w:p>
          <w:p>
            <w:pPr>
              <w:pStyle w:val="9"/>
              <w:ind w:firstLine="220" w:firstLineChars="100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>依据《中华人民共和国食品安全法》制定本标准。</w:t>
            </w:r>
          </w:p>
          <w:p>
            <w:pPr>
              <w:pStyle w:val="9"/>
              <w:ind w:firstLine="220" w:firstLineChars="100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>本标准的编写格式与表述方法是按照GB/T 1.1《标准化工作导则第1部分：标准的结构和编写规则》的要求进行。</w:t>
            </w:r>
          </w:p>
          <w:p>
            <w:pPr>
              <w:spacing w:line="220" w:lineRule="atLeast"/>
              <w:ind w:firstLine="220" w:firstLineChars="100"/>
            </w:pPr>
            <w:r>
              <w:rPr>
                <w:rFonts w:hint="eastAsia"/>
              </w:rPr>
              <w:t>本标准污染物指标依据GB 2762《食品安全国家标准 食品中污染物限量》制定；食品营养强化剂指标依据GB14880《食品安全国家标准 食品营养强化剂使用标准》和GB26878《食品安全国家标准 食用盐碘含量》制定 ，</w:t>
            </w:r>
            <w:r>
              <w:rPr>
                <w:rFonts w:hint="eastAsia" w:hAnsi="宋体"/>
              </w:rPr>
              <w:t>其中铅的指标严于国家标准。</w:t>
            </w:r>
          </w:p>
          <w:p>
            <w:pPr>
              <w:spacing w:line="220" w:lineRule="atLeast"/>
              <w:ind w:firstLine="220" w:firstLineChars="100"/>
              <w:rPr>
                <w:b/>
              </w:rPr>
            </w:pPr>
            <w:r>
              <w:rPr>
                <w:rFonts w:hint="eastAsia"/>
                <w:b/>
              </w:rPr>
              <w:t>2.与有关法律、法规和强制性标准的关系</w:t>
            </w:r>
          </w:p>
          <w:p>
            <w:pPr>
              <w:pStyle w:val="9"/>
              <w:ind w:firstLine="220" w:firstLineChars="100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>本标准符合国家现行法律、法规和强制性标准，在实施过程中如遇与国家法律、法规和强制性标准相抵触之处，自动废止本标准中相抵触部分，以国家标准为准。</w:t>
            </w:r>
          </w:p>
          <w:p>
            <w:pPr>
              <w:pStyle w:val="9"/>
              <w:ind w:firstLine="0" w:firstLineChars="0"/>
              <w:rPr>
                <w:rFonts w:ascii="Tahoma" w:hAnsi="Tahoma" w:eastAsia="微软雅黑" w:cstheme="minorBidi"/>
                <w:sz w:val="22"/>
                <w:szCs w:val="22"/>
              </w:rPr>
            </w:pPr>
          </w:p>
          <w:p>
            <w:pPr>
              <w:pStyle w:val="9"/>
              <w:ind w:firstLine="220" w:firstLineChars="100"/>
              <w:rPr>
                <w:rFonts w:ascii="Tahoma" w:hAnsi="Tahoma" w:eastAsia="微软雅黑" w:cstheme="minorBidi"/>
                <w:b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b/>
                <w:sz w:val="22"/>
                <w:szCs w:val="22"/>
              </w:rPr>
              <w:t>3.以保证食品安全、保护消费者健康为原则</w:t>
            </w:r>
          </w:p>
          <w:p>
            <w:pPr>
              <w:spacing w:line="500" w:lineRule="exact"/>
              <w:ind w:firstLine="220" w:firstLineChars="100"/>
            </w:pPr>
            <w:r>
              <w:rPr>
                <w:rFonts w:hint="eastAsia"/>
              </w:rPr>
              <w:t xml:space="preserve"> 海藻碘海盐主要用于食品的烹饪，为保证产品质量，在该标准中明确重金属、杂质、水不溶物、污染物等指标，最大限度地保证产品的安全和质量水平。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0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firstLine="241" w:firstLineChars="100"/>
              <w:rPr>
                <w:rFonts w:ascii="仿宋_GB2312" w:hAnsi="Tahoma" w:eastAsia="仿宋_GB2312" w:cstheme="minorBidi"/>
                <w:b/>
                <w:sz w:val="24"/>
                <w:szCs w:val="24"/>
              </w:rPr>
            </w:pPr>
            <w:r>
              <w:rPr>
                <w:rFonts w:hint="eastAsia" w:ascii="仿宋_GB2312" w:hAnsi="Tahoma" w:eastAsia="仿宋_GB2312" w:cstheme="minorBidi"/>
                <w:b/>
                <w:sz w:val="24"/>
                <w:szCs w:val="24"/>
              </w:rPr>
              <w:t>三、标准主要内容的确定依据</w:t>
            </w:r>
          </w:p>
          <w:p>
            <w:pPr>
              <w:pStyle w:val="9"/>
              <w:ind w:firstLine="241" w:firstLineChars="100"/>
              <w:rPr>
                <w:rFonts w:ascii="仿宋_GB2312" w:hAnsi="Tahoma" w:eastAsia="仿宋_GB2312" w:cstheme="minorBidi"/>
                <w:b/>
                <w:sz w:val="24"/>
                <w:szCs w:val="24"/>
              </w:rPr>
            </w:pPr>
          </w:p>
          <w:p>
            <w:pPr>
              <w:pStyle w:val="14"/>
              <w:numPr>
                <w:ilvl w:val="1"/>
                <w:numId w:val="0"/>
              </w:numPr>
              <w:spacing w:line="340" w:lineRule="exact"/>
              <w:ind w:firstLine="241" w:firstLineChars="100"/>
              <w:rPr>
                <w:rFonts w:ascii="Tahoma" w:hAnsi="Tahoma" w:eastAsia="微软雅黑" w:cstheme="minorBidi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theme="minorBidi"/>
                <w:b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ahoma" w:hAnsi="Tahoma" w:eastAsia="微软雅黑" w:cstheme="minorBidi"/>
                <w:b/>
                <w:kern w:val="0"/>
                <w:sz w:val="22"/>
                <w:szCs w:val="22"/>
              </w:rPr>
              <w:t>感官要求</w:t>
            </w:r>
            <w:r>
              <w:rPr>
                <w:rFonts w:hint="eastAsia" w:ascii="Tahoma" w:hAnsi="Tahoma" w:eastAsia="微软雅黑" w:cstheme="minorBidi"/>
                <w:kern w:val="0"/>
                <w:sz w:val="22"/>
                <w:szCs w:val="22"/>
              </w:rPr>
              <w:t>应符合GB/T5461的规定。</w:t>
            </w:r>
          </w:p>
          <w:p>
            <w:pPr>
              <w:pStyle w:val="9"/>
              <w:ind w:firstLine="220" w:firstLineChars="100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>感官要求应符合表1的规定</w:t>
            </w:r>
          </w:p>
          <w:p>
            <w:pPr>
              <w:spacing w:beforeLines="50" w:line="36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表1 感官要求</w:t>
            </w:r>
          </w:p>
          <w:tbl>
            <w:tblPr>
              <w:tblStyle w:val="4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0"/>
              <w:gridCol w:w="6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520" w:type="dxa"/>
                  <w:vAlign w:val="center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  <w:jc w:val="center"/>
                  </w:pPr>
                  <w:r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6764" w:type="dxa"/>
                  <w:vAlign w:val="center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  <w:jc w:val="center"/>
                  </w:pPr>
                  <w:r>
                    <w:rPr>
                      <w:rFonts w:hint="eastAsia"/>
                    </w:rPr>
                    <w:t>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520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色泽</w:t>
                  </w:r>
                </w:p>
              </w:tc>
              <w:tc>
                <w:tcPr>
                  <w:tcW w:w="6764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无色或白色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520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组织形态</w:t>
                  </w:r>
                </w:p>
              </w:tc>
              <w:tc>
                <w:tcPr>
                  <w:tcW w:w="6764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颗粒状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520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气味</w:t>
                  </w:r>
                </w:p>
              </w:tc>
              <w:tc>
                <w:tcPr>
                  <w:tcW w:w="6764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无异味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520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杂质</w:t>
                  </w:r>
                </w:p>
              </w:tc>
              <w:tc>
                <w:tcPr>
                  <w:tcW w:w="6764" w:type="dxa"/>
                </w:tcPr>
                <w:p>
                  <w:pPr>
                    <w:pStyle w:val="11"/>
                    <w:numPr>
                      <w:ilvl w:val="0"/>
                      <w:numId w:val="0"/>
                    </w:numPr>
                  </w:pPr>
                  <w:r>
                    <w:rPr>
                      <w:rFonts w:hint="eastAsia"/>
                    </w:rPr>
                    <w:t>无可见外来杂物</w:t>
                  </w:r>
                </w:p>
              </w:tc>
            </w:tr>
          </w:tbl>
          <w:p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2.与国家标准对比</w:t>
            </w:r>
          </w:p>
          <w:tbl>
            <w:tblPr>
              <w:tblStyle w:val="4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1"/>
              <w:gridCol w:w="3101"/>
              <w:gridCol w:w="2102"/>
              <w:gridCol w:w="4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9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</w:rPr>
                    <w:t>指标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</w:rPr>
                    <w:t>企业标准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</w:rPr>
                    <w:t>国家《食用盐(日晒盐)》</w:t>
                  </w:r>
                  <w:r>
                    <w:rPr>
                      <w:rFonts w:hint="eastAsia"/>
                    </w:rPr>
                    <w:t>GB/T5461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50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sz w:val="44"/>
                    </w:rPr>
                  </w:pPr>
                </w:p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sz w:val="44"/>
                    </w:rPr>
                  </w:pPr>
                </w:p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sz w:val="44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sz w:val="44"/>
                    </w:rPr>
                    <w:t>理</w:t>
                  </w:r>
                </w:p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sz w:val="44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sz w:val="44"/>
                    </w:rPr>
                    <w:t>化</w:t>
                  </w:r>
                </w:p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sz w:val="44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sz w:val="44"/>
                    </w:rPr>
                    <w:t>指</w:t>
                  </w:r>
                </w:p>
                <w:p>
                  <w:pPr>
                    <w:jc w:val="center"/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sz w:val="44"/>
                    </w:rPr>
                    <w:t>标</w:t>
                  </w: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白度(度)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≥</w:t>
                  </w:r>
                  <w:r>
                    <w:rPr>
                      <w:rFonts w:hint="eastAsia" w:hAnsi="宋体" w:cs="Times New Roman"/>
                      <w:sz w:val="18"/>
                    </w:rPr>
                    <w:t>55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≥</w:t>
                  </w:r>
                  <w:r>
                    <w:rPr>
                      <w:rFonts w:hint="eastAsia" w:hAnsi="宋体" w:cs="Times New Roman"/>
                      <w:sz w:val="18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粒度（0.3mm-2.8mm筛）/（g/100g）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≥</w:t>
                  </w:r>
                  <w:r>
                    <w:rPr>
                      <w:rFonts w:hint="eastAsia" w:hAnsi="宋体" w:cs="Times New Roman"/>
                      <w:sz w:val="18"/>
                    </w:rPr>
                    <w:t>85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ind w:firstLine="0" w:firstLineChars="0"/>
                    <w:rPr>
                      <w:rFonts w:ascii="Tahoma" w:hAnsi="宋体" w:eastAsia="微软雅黑"/>
                      <w:sz w:val="18"/>
                      <w:szCs w:val="22"/>
                    </w:rPr>
                  </w:pPr>
                  <w:r>
                    <w:rPr>
                      <w:rFonts w:hint="eastAsia" w:ascii="Tahoma" w:hAnsi="宋体" w:eastAsia="微软雅黑"/>
                      <w:sz w:val="18"/>
                      <w:szCs w:val="22"/>
                    </w:rPr>
                    <w:t>粒度-大粒：2mm～4mm</w:t>
                  </w:r>
                  <w:r>
                    <w:rPr>
                      <w:rFonts w:ascii="Tahoma" w:hAnsi="宋体" w:eastAsia="微软雅黑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hint="eastAsia" w:ascii="Tahoma" w:hAnsi="宋体" w:eastAsia="微软雅黑"/>
                      <w:sz w:val="18"/>
                      <w:szCs w:val="22"/>
                    </w:rPr>
                    <w:t>，中粒：0.3mm～2.8mm，小粒：0.15mm～0.85mm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tabs>
                      <w:tab w:val="left" w:pos="5490"/>
                    </w:tabs>
                    <w:spacing w:line="300" w:lineRule="exact"/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氯化钠（以湿基计）/（g/100g）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≥</w:t>
                  </w:r>
                  <w:r>
                    <w:rPr>
                      <w:rFonts w:hint="eastAsia" w:hAnsi="宋体" w:cs="Times New Roman"/>
                      <w:sz w:val="18"/>
                    </w:rPr>
                    <w:t>9</w:t>
                  </w:r>
                  <w:r>
                    <w:rPr>
                      <w:rFonts w:hint="eastAsia" w:hAnsi="宋体" w:cs="Times New Roman"/>
                      <w:sz w:val="18"/>
                      <w:lang w:val="en-US" w:eastAsia="zh-CN"/>
                    </w:rPr>
                    <w:t>8</w:t>
                  </w:r>
                  <w:r>
                    <w:rPr>
                      <w:rFonts w:hint="eastAsia" w:hAnsi="宋体" w:cs="Times New Roman"/>
                      <w:sz w:val="18"/>
                    </w:rPr>
                    <w:t>.</w:t>
                  </w:r>
                  <w:r>
                    <w:rPr>
                      <w:rFonts w:hint="eastAsia" w:hAnsi="宋体" w:cs="Times New Roman"/>
                      <w:sz w:val="18"/>
                      <w:lang w:val="en-US" w:eastAsia="zh-CN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hint="eastAsia" w:hAnsi="宋体" w:cs="Times New Roman"/>
                      <w:sz w:val="18"/>
                    </w:rPr>
                    <w:t>0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ind w:firstLine="0" w:firstLineChars="0"/>
                    <w:rPr>
                      <w:rFonts w:ascii="Tahoma" w:hAnsi="宋体" w:eastAsia="微软雅黑"/>
                      <w:sz w:val="18"/>
                      <w:szCs w:val="22"/>
                    </w:rPr>
                  </w:pPr>
                  <w:r>
                    <w:rPr>
                      <w:rFonts w:hint="eastAsia" w:ascii="Tahoma" w:hAnsi="宋体" w:eastAsia="微软雅黑"/>
                      <w:sz w:val="18"/>
                      <w:szCs w:val="22"/>
                    </w:rPr>
                    <w:t>氯化钠（以湿基计）/（g/100g）</w:t>
                  </w:r>
                  <w:r>
                    <w:rPr>
                      <w:rFonts w:ascii="Tahoma" w:hAnsi="宋体" w:eastAsia="微软雅黑"/>
                      <w:sz w:val="18"/>
                      <w:szCs w:val="22"/>
                    </w:rPr>
                    <w:t>≥</w:t>
                  </w:r>
                  <w:r>
                    <w:rPr>
                      <w:rFonts w:hint="eastAsia" w:ascii="Tahoma" w:hAnsi="宋体" w:eastAsia="微软雅黑"/>
                      <w:sz w:val="18"/>
                      <w:szCs w:val="22"/>
                    </w:rPr>
                    <w:t>93.5</w:t>
                  </w:r>
                </w:p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水分（g/100g）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0.50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水分（g/100g）</w:t>
                  </w: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4.8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水不溶物（g/100g）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0.20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水不溶物（g/100g）</w:t>
                  </w: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硫酸根（g/100g）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0.80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硫酸根（g/100g）</w:t>
                  </w: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碘（以I计） /（㎎/㎏）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18</w:t>
                  </w:r>
                  <w:r>
                    <w:rPr>
                      <w:rFonts w:hint="eastAsia" w:ascii="宋体" w:hAnsi="宋体"/>
                      <w:sz w:val="18"/>
                    </w:rPr>
                    <w:t>～</w:t>
                  </w:r>
                  <w:r>
                    <w:rPr>
                      <w:rFonts w:hint="eastAsia" w:hAnsi="宋体" w:cs="Times New Roman"/>
                      <w:sz w:val="18"/>
                    </w:rPr>
                    <w:t>33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按26878规定执行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总砷（以As计）/(mg/</w:t>
                  </w:r>
                  <w:r>
                    <w:rPr>
                      <w:rFonts w:hint="eastAsia" w:hAnsi="宋体" w:cs="Times New Roman"/>
                      <w:sz w:val="18"/>
                    </w:rPr>
                    <w:t>㎏）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0.5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食用盐污染物限量应按GB2762和GB2721的规定执行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铅（</w:t>
                  </w:r>
                  <w:r>
                    <w:rPr>
                      <w:rFonts w:hint="eastAsia" w:hAnsi="宋体" w:cs="Times New Roman"/>
                      <w:sz w:val="18"/>
                    </w:rPr>
                    <w:t>以</w:t>
                  </w:r>
                  <w:r>
                    <w:rPr>
                      <w:rFonts w:hAnsi="宋体" w:cs="Times New Roman"/>
                      <w:sz w:val="18"/>
                    </w:rPr>
                    <w:t>Pb</w:t>
                  </w:r>
                  <w:r>
                    <w:rPr>
                      <w:rFonts w:hint="eastAsia" w:hAnsi="宋体" w:cs="Times New Roman"/>
                      <w:sz w:val="18"/>
                    </w:rPr>
                    <w:t>计</w:t>
                  </w:r>
                  <w:r>
                    <w:rPr>
                      <w:rFonts w:hAnsi="宋体" w:cs="Times New Roman"/>
                      <w:sz w:val="18"/>
                    </w:rPr>
                    <w:t>）/(mg/</w:t>
                  </w:r>
                  <w:r>
                    <w:rPr>
                      <w:rFonts w:hint="eastAsia" w:hAnsi="宋体" w:cs="Times New Roman"/>
                      <w:sz w:val="18"/>
                    </w:rPr>
                    <w:t>㎏）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1.0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食用盐污染物限量应按GB2762和GB2721的规定执行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镉（以Cd计）/</w:t>
                  </w:r>
                  <w:r>
                    <w:rPr>
                      <w:rFonts w:hAnsi="宋体" w:cs="Times New Roman"/>
                      <w:sz w:val="18"/>
                    </w:rPr>
                    <w:t>(mg/</w:t>
                  </w:r>
                  <w:r>
                    <w:rPr>
                      <w:rFonts w:hint="eastAsia" w:hAnsi="宋体" w:cs="Times New Roman"/>
                      <w:sz w:val="18"/>
                    </w:rPr>
                    <w:t>㎏）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≤</w:t>
                  </w:r>
                  <w:r>
                    <w:rPr>
                      <w:rFonts w:hint="eastAsia" w:hAnsi="宋体" w:cs="Times New Roman"/>
                      <w:sz w:val="18"/>
                    </w:rPr>
                    <w:t>0.5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食用盐污染物限量应按GB2762和GB2721的规定执行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总汞（以Hg计）/</w:t>
                  </w:r>
                  <w:r>
                    <w:rPr>
                      <w:rFonts w:hAnsi="宋体" w:cs="Times New Roman"/>
                      <w:sz w:val="18"/>
                    </w:rPr>
                    <w:t>(mg/</w:t>
                  </w:r>
                  <w:r>
                    <w:rPr>
                      <w:rFonts w:hint="eastAsia" w:hAnsi="宋体" w:cs="Times New Roman"/>
                      <w:sz w:val="18"/>
                    </w:rPr>
                    <w:t>㎏</w:t>
                  </w:r>
                  <w:r>
                    <w:rPr>
                      <w:rFonts w:hAnsi="宋体" w:cs="Times New Roman"/>
                      <w:sz w:val="18"/>
                    </w:rPr>
                    <w:t>)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≤0.1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食用盐污染物限量应按GB2762和GB2721的规定执行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钡（以Ba计）/</w:t>
                  </w:r>
                  <w:r>
                    <w:rPr>
                      <w:rFonts w:hAnsi="宋体" w:cs="Times New Roman"/>
                      <w:sz w:val="18"/>
                    </w:rPr>
                    <w:t>(mg/</w:t>
                  </w:r>
                  <w:r>
                    <w:rPr>
                      <w:rFonts w:hint="eastAsia" w:hAnsi="宋体" w:cs="Times New Roman"/>
                      <w:sz w:val="18"/>
                    </w:rPr>
                    <w:t>㎏</w:t>
                  </w:r>
                  <w:r>
                    <w:rPr>
                      <w:rFonts w:hAnsi="宋体" w:cs="Times New Roman"/>
                      <w:sz w:val="18"/>
                    </w:rPr>
                    <w:t>)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≤15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食用盐污染物限量应按GB2762和GB2721的规定执行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  <w:jc w:val="center"/>
              </w:trPr>
              <w:tc>
                <w:tcPr>
                  <w:tcW w:w="505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</w:p>
              </w:tc>
              <w:tc>
                <w:tcPr>
                  <w:tcW w:w="149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ind w:firstLine="0" w:firstLineChars="0"/>
                    <w:rPr>
                      <w:rFonts w:ascii="Tahoma" w:hAnsi="宋体" w:eastAsia="微软雅黑"/>
                      <w:sz w:val="18"/>
                      <w:szCs w:val="22"/>
                    </w:rPr>
                  </w:pPr>
                  <w:r>
                    <w:rPr>
                      <w:rFonts w:hint="eastAsia" w:hAnsi="宋体"/>
                      <w:color w:val="000000"/>
                      <w:szCs w:val="21"/>
                    </w:rPr>
                    <w:t xml:space="preserve">a </w:t>
                  </w: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不宜使用碘盐人群专供的未加碘食用盐</w:t>
                  </w:r>
                  <w:r>
                    <w:rPr>
                      <w:rFonts w:hint="eastAsia" w:hAnsi="宋体"/>
                      <w:color w:val="000000"/>
                      <w:szCs w:val="21"/>
                    </w:rPr>
                    <w:t>，</w:t>
                  </w: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其碘含量应小于5㎎/㎏,包装应有相应的标注，其它技术指标不变。碘含量根据地区不同分为三型：一型14-26，二型18-33，三型21-39，包装应有相应的标注，其他技术指标不变。</w:t>
                  </w:r>
                  <w:r>
                    <w:rPr>
                      <w:rFonts w:hint="eastAsia" w:ascii="Tahoma" w:hAnsi="宋体" w:eastAsia="微软雅黑"/>
                      <w:sz w:val="18"/>
                      <w:szCs w:val="22"/>
                    </w:rPr>
                    <w:t>；其它污染物限量</w:t>
                  </w:r>
                </w:p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Ansi="宋体" w:cs="Times New Roman"/>
                      <w:sz w:val="18"/>
                    </w:rPr>
                    <w:t>应符合GB 2762的规定</w:t>
                  </w:r>
                </w:p>
              </w:tc>
              <w:tc>
                <w:tcPr>
                  <w:tcW w:w="10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＜5㎎/㎏</w:t>
                  </w:r>
                </w:p>
              </w:tc>
              <w:tc>
                <w:tcPr>
                  <w:tcW w:w="19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hAnsi="宋体" w:cs="Times New Roman"/>
                      <w:sz w:val="18"/>
                    </w:rPr>
                  </w:pPr>
                  <w:r>
                    <w:rPr>
                      <w:rFonts w:hint="eastAsia" w:hAnsi="宋体" w:cs="Times New Roman"/>
                      <w:sz w:val="18"/>
                    </w:rPr>
                    <w:t>a 未加碘食用盐，其碘含量应小于5㎎/㎏，应在包装袋显著位置标注“未加碘”字样。</w:t>
                  </w:r>
                </w:p>
              </w:tc>
            </w:tr>
          </w:tbl>
          <w:p>
            <w:pPr>
              <w:pStyle w:val="9"/>
              <w:ind w:firstLine="0" w:firstLineChars="0"/>
              <w:rPr>
                <w:rFonts w:ascii="Tahoma" w:hAnsi="Tahoma" w:eastAsia="微软雅黑" w:cstheme="minorBidi"/>
                <w:b/>
                <w:sz w:val="22"/>
                <w:szCs w:val="22"/>
              </w:rPr>
            </w:pPr>
          </w:p>
          <w:p>
            <w:pPr>
              <w:pStyle w:val="9"/>
              <w:ind w:firstLine="291" w:firstLineChars="132"/>
              <w:rPr>
                <w:rFonts w:ascii="Tahoma" w:hAnsi="Tahoma" w:eastAsia="微软雅黑" w:cstheme="minorBidi"/>
                <w:b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b/>
                <w:sz w:val="22"/>
                <w:szCs w:val="22"/>
              </w:rPr>
              <w:t>3.原料要求</w:t>
            </w:r>
          </w:p>
          <w:p>
            <w:pPr>
              <w:pStyle w:val="9"/>
              <w:ind w:firstLine="290" w:firstLineChars="132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>2.1.日晒海盐：应符合GB/T 5461的规定。</w:t>
            </w:r>
          </w:p>
          <w:p>
            <w:pPr>
              <w:pStyle w:val="9"/>
              <w:ind w:firstLine="290" w:firstLineChars="132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 xml:space="preserve">2.2. </w:t>
            </w:r>
            <w:r>
              <w:rPr>
                <w:rFonts w:hint="eastAsia" w:ascii="Tahoma" w:hAnsi="Tahoma" w:eastAsia="微软雅黑"/>
                <w:sz w:val="22"/>
                <w:szCs w:val="22"/>
              </w:rPr>
              <w:t>海 藻 碘 ：应符合相应的食品安全标准，并具有相应的食品生产资质证明材料。</w:t>
            </w:r>
          </w:p>
          <w:p>
            <w:pPr>
              <w:pStyle w:val="9"/>
              <w:ind w:firstLine="290" w:firstLineChars="132"/>
              <w:rPr>
                <w:rFonts w:ascii="Tahoma" w:hAnsi="Tahoma" w:eastAsia="微软雅黑" w:cstheme="minorBidi"/>
                <w:sz w:val="22"/>
                <w:szCs w:val="22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</w:rPr>
              <w:t xml:space="preserve">2.3. </w:t>
            </w:r>
            <w:r>
              <w:rPr>
                <w:rFonts w:hint="eastAsia" w:ascii="Tahoma" w:hAnsi="Tahoma" w:eastAsia="微软雅黑"/>
                <w:sz w:val="22"/>
                <w:szCs w:val="22"/>
              </w:rPr>
              <w:t>生产用水：应符合GB 5749的规定。</w:t>
            </w:r>
          </w:p>
          <w:p>
            <w:pPr>
              <w:pStyle w:val="9"/>
              <w:ind w:firstLine="180" w:firstLineChars="82"/>
              <w:rPr>
                <w:rFonts w:ascii="Tahoma" w:hAnsi="Tahoma" w:eastAsia="微软雅黑" w:cstheme="minorBidi"/>
                <w:sz w:val="22"/>
                <w:szCs w:val="22"/>
              </w:rPr>
            </w:pPr>
          </w:p>
          <w:p>
            <w:pPr>
              <w:pStyle w:val="9"/>
              <w:ind w:firstLine="220" w:firstLineChars="100"/>
              <w:rPr>
                <w:rFonts w:hAnsi="宋体"/>
                <w:szCs w:val="21"/>
              </w:rPr>
            </w:pPr>
            <w:r>
              <w:rPr>
                <w:rFonts w:hint="eastAsia" w:ascii="Tahoma" w:hAnsi="Tahoma" w:eastAsia="微软雅黑" w:cstheme="minorBidi"/>
                <w:b/>
                <w:sz w:val="22"/>
                <w:szCs w:val="22"/>
              </w:rPr>
              <w:t>4.加工过程</w:t>
            </w:r>
            <w:r>
              <w:rPr>
                <w:rFonts w:hAnsi="宋体"/>
                <w:szCs w:val="21"/>
              </w:rPr>
              <w:t>应符合GB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14881</w:t>
            </w:r>
            <w:r>
              <w:rPr>
                <w:rFonts w:hAnsi="宋体"/>
                <w:szCs w:val="21"/>
              </w:rPr>
              <w:t>的规定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pStyle w:val="9"/>
              <w:ind w:firstLine="0" w:firstLineChars="0"/>
              <w:rPr>
                <w:rFonts w:hAnsi="宋体"/>
                <w:szCs w:val="21"/>
              </w:rPr>
            </w:pPr>
          </w:p>
          <w:p>
            <w:pPr>
              <w:pStyle w:val="9"/>
              <w:ind w:firstLine="210" w:firstLineChars="10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以日晒海盐为原料，经洗涤、粉碎、脱卤、干燥、筛分、添加食品营养强化剂海藻碘、包装计量工艺生产而成。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4CF"/>
    <w:multiLevelType w:val="multilevel"/>
    <w:tmpl w:val="40B344CF"/>
    <w:lvl w:ilvl="0" w:tentative="0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4"/>
      <w:numFmt w:val="decimal"/>
      <w:pStyle w:val="12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entative="0">
      <w:start w:val="1"/>
      <w:numFmt w:val="decimal"/>
      <w:pStyle w:val="11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>
    <w:nsid w:val="5EEC4B5F"/>
    <w:multiLevelType w:val="multilevel"/>
    <w:tmpl w:val="5EEC4B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1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1036"/>
    <w:rsid w:val="000A4A79"/>
    <w:rsid w:val="00183400"/>
    <w:rsid w:val="001924AD"/>
    <w:rsid w:val="001D1600"/>
    <w:rsid w:val="001D5070"/>
    <w:rsid w:val="001F062E"/>
    <w:rsid w:val="002229C8"/>
    <w:rsid w:val="00236337"/>
    <w:rsid w:val="00247B0E"/>
    <w:rsid w:val="003236CD"/>
    <w:rsid w:val="00323B43"/>
    <w:rsid w:val="00336B5A"/>
    <w:rsid w:val="003B3473"/>
    <w:rsid w:val="003B7386"/>
    <w:rsid w:val="003D37D8"/>
    <w:rsid w:val="003E75BC"/>
    <w:rsid w:val="003F305E"/>
    <w:rsid w:val="00402E00"/>
    <w:rsid w:val="00417271"/>
    <w:rsid w:val="00426133"/>
    <w:rsid w:val="004358AB"/>
    <w:rsid w:val="00483F86"/>
    <w:rsid w:val="004C2BC5"/>
    <w:rsid w:val="004E798A"/>
    <w:rsid w:val="00511803"/>
    <w:rsid w:val="005260FA"/>
    <w:rsid w:val="00556753"/>
    <w:rsid w:val="00661084"/>
    <w:rsid w:val="00665B6B"/>
    <w:rsid w:val="006B0297"/>
    <w:rsid w:val="006B5F1E"/>
    <w:rsid w:val="007A2E8F"/>
    <w:rsid w:val="007A4018"/>
    <w:rsid w:val="007B4C99"/>
    <w:rsid w:val="00857170"/>
    <w:rsid w:val="008645FA"/>
    <w:rsid w:val="008B7726"/>
    <w:rsid w:val="008C585D"/>
    <w:rsid w:val="00916ADA"/>
    <w:rsid w:val="00932426"/>
    <w:rsid w:val="009375A7"/>
    <w:rsid w:val="009501B5"/>
    <w:rsid w:val="009A0E84"/>
    <w:rsid w:val="009D4AA1"/>
    <w:rsid w:val="009F30AC"/>
    <w:rsid w:val="00A2369E"/>
    <w:rsid w:val="00A3584F"/>
    <w:rsid w:val="00A81054"/>
    <w:rsid w:val="00A849F1"/>
    <w:rsid w:val="00AE6BA3"/>
    <w:rsid w:val="00B120A4"/>
    <w:rsid w:val="00B6380A"/>
    <w:rsid w:val="00B6463F"/>
    <w:rsid w:val="00BF4E78"/>
    <w:rsid w:val="00BF7EAE"/>
    <w:rsid w:val="00C52D6E"/>
    <w:rsid w:val="00C955E5"/>
    <w:rsid w:val="00D174D5"/>
    <w:rsid w:val="00D31D50"/>
    <w:rsid w:val="00D53401"/>
    <w:rsid w:val="00D762F3"/>
    <w:rsid w:val="00DB7C44"/>
    <w:rsid w:val="00DF4E1F"/>
    <w:rsid w:val="00E063EA"/>
    <w:rsid w:val="00E15D3A"/>
    <w:rsid w:val="00E32808"/>
    <w:rsid w:val="00E842B0"/>
    <w:rsid w:val="00EA1644"/>
    <w:rsid w:val="00ED77BD"/>
    <w:rsid w:val="00EF4EB8"/>
    <w:rsid w:val="00F07DCA"/>
    <w:rsid w:val="00F7721B"/>
    <w:rsid w:val="126E73C7"/>
    <w:rsid w:val="1B3C55C4"/>
    <w:rsid w:val="21373BA8"/>
    <w:rsid w:val="2C371FCE"/>
    <w:rsid w:val="6BF17E50"/>
    <w:rsid w:val="733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otnote reference"/>
    <w:basedOn w:val="5"/>
    <w:semiHidden/>
    <w:qFormat/>
    <w:uiPriority w:val="0"/>
    <w:rPr>
      <w:vertAlign w:val="superscript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段"/>
    <w:link w:val="13"/>
    <w:qFormat/>
    <w:uiPriority w:val="0"/>
    <w:pPr>
      <w:autoSpaceDE w:val="0"/>
      <w:autoSpaceDN w:val="0"/>
      <w:spacing w:after="0" w:line="240" w:lineRule="auto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一级条标题"/>
    <w:next w:val="9"/>
    <w:qFormat/>
    <w:uiPriority w:val="0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 w:eastAsia="黑体" w:cs="Times New Roman"/>
      <w:sz w:val="21"/>
      <w:szCs w:val="20"/>
      <w:lang w:val="en-US" w:eastAsia="zh-CN" w:bidi="ar-SA"/>
    </w:rPr>
  </w:style>
  <w:style w:type="paragraph" w:customStyle="1" w:styleId="12">
    <w:name w:val="章标题"/>
    <w:next w:val="9"/>
    <w:uiPriority w:val="0"/>
    <w:pPr>
      <w:numPr>
        <w:ilvl w:val="1"/>
        <w:numId w:val="1"/>
      </w:numPr>
      <w:spacing w:beforeLines="50" w:after="200" w:afterLines="50" w:line="240" w:lineRule="auto"/>
      <w:jc w:val="both"/>
      <w:outlineLvl w:val="1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character" w:customStyle="1" w:styleId="13">
    <w:name w:val="段 Char"/>
    <w:basedOn w:val="5"/>
    <w:link w:val="9"/>
    <w:qFormat/>
    <w:uiPriority w:val="0"/>
    <w:rPr>
      <w:rFonts w:ascii="宋体" w:hAnsi="Times New Roman" w:eastAsia="宋体" w:cs="Times New Roman"/>
      <w:sz w:val="21"/>
      <w:szCs w:val="20"/>
    </w:rPr>
  </w:style>
  <w:style w:type="paragraph" w:customStyle="1" w:styleId="14">
    <w:name w:val="条1"/>
    <w:basedOn w:val="1"/>
    <w:next w:val="1"/>
    <w:qFormat/>
    <w:uiPriority w:val="0"/>
    <w:pPr>
      <w:widowControl w:val="0"/>
      <w:numPr>
        <w:ilvl w:val="1"/>
        <w:numId w:val="2"/>
      </w:numPr>
      <w:tabs>
        <w:tab w:val="left" w:pos="840"/>
      </w:tabs>
      <w:adjustRightInd/>
      <w:snapToGrid/>
      <w:spacing w:after="0"/>
      <w:jc w:val="both"/>
      <w:outlineLvl w:val="1"/>
    </w:pPr>
    <w:rPr>
      <w:rFonts w:ascii="黑体" w:hAnsi="Times New Roman" w:eastAsia="黑体" w:cs="Times New Roman"/>
      <w:kern w:val="21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</Words>
  <Characters>1854</Characters>
  <Lines>15</Lines>
  <Paragraphs>4</Paragraphs>
  <TotalTime>145</TotalTime>
  <ScaleCrop>false</ScaleCrop>
  <LinksUpToDate>false</LinksUpToDate>
  <CharactersWithSpaces>2175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候小庆（ixxdcc）</cp:lastModifiedBy>
  <dcterms:modified xsi:type="dcterms:W3CDTF">2020-09-01T04:42:23Z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